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D4CBF8" w14:textId="77777777" w:rsidR="004504DA" w:rsidRDefault="004504DA">
      <w:pPr>
        <w:pStyle w:val="Heading1"/>
        <w:shd w:val="clear" w:color="auto" w:fill="F8FAFC"/>
        <w:divId w:val="790587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COMPUTAÇÃO EM NUVEM I</w:t>
      </w:r>
    </w:p>
    <w:p w14:paraId="27A1BB5E" w14:textId="77777777" w:rsidR="004504DA" w:rsidRDefault="004504DA">
      <w:pPr>
        <w:shd w:val="clear" w:color="auto" w:fill="F8FAFC"/>
        <w:divId w:val="746612299"/>
        <w:rPr>
          <w:rFonts w:ascii="Segoe UI" w:eastAsia="Times New Roman" w:hAnsi="Segoe UI" w:cs="Segoe UI"/>
          <w:b/>
          <w:bCs/>
          <w:color w:val="475569"/>
        </w:rPr>
      </w:pPr>
      <w:r>
        <w:rPr>
          <w:rFonts w:ascii="Segoe UI" w:eastAsia="Times New Roman" w:hAnsi="Segoe UI" w:cs="Segoe UI"/>
          <w:b/>
          <w:bCs/>
          <w:color w:val="475569"/>
        </w:rPr>
        <w:t>Atividade de Pesquisa e Prática — Contextualização, Modelos de Implantação, Características, Desafios e Modelos de Serviço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91"/>
        <w:gridCol w:w="2122"/>
        <w:gridCol w:w="2453"/>
      </w:tblGrid>
      <w:tr w:rsidR="00000000" w14:paraId="6FF49A6A" w14:textId="77777777">
        <w:trPr>
          <w:divId w:val="790587431"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2E8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D507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  <w:t>Aluno(a):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212C7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Otávio Vianna Lima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2E8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7670F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  <w:t>Turma: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AAA7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Computação em Nuvem I</w:t>
            </w:r>
          </w:p>
        </w:tc>
      </w:tr>
      <w:tr w:rsidR="00000000" w14:paraId="49E3E1FB" w14:textId="77777777">
        <w:trPr>
          <w:divId w:val="790587431"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2E8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B4DE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E293B"/>
                <w:sz w:val="20"/>
                <w:szCs w:val="20"/>
              </w:rPr>
              <w:t>Formato de Entrega:</w:t>
            </w:r>
          </w:p>
        </w:tc>
        <w:tc>
          <w:tcPr>
            <w:tcW w:w="0" w:type="auto"/>
            <w:gridSpan w:val="3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72E8" w14:textId="77777777" w:rsidR="004504DA" w:rsidRDefault="004504DA">
            <w:pPr>
              <w:spacing w:before="15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Relatório Técnico com respostas dissertativas fundamentadas, matrizes comparativas e evidências de prática hands-on.</w:t>
            </w:r>
          </w:p>
        </w:tc>
      </w:tr>
    </w:tbl>
    <w:p w14:paraId="466140C3" w14:textId="77777777" w:rsidR="004504DA" w:rsidRDefault="004504D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PARTE 1 — ATIVIDADE TEÓRICA (PESQUISA DIRIGIDA)</w:t>
      </w:r>
    </w:p>
    <w:p w14:paraId="1BFE45DE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Bloco 1 — Contextualização e Modelos de Implantação</w:t>
      </w:r>
    </w:p>
    <w:p w14:paraId="04CB2500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O que caracteriza um sistema de computação em nuvem em comparação com a infraestrutura de TI tradicional (on-premise)? Três diferenças.</w:t>
      </w:r>
    </w:p>
    <w:p w14:paraId="00573231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Um sistema de computação em nuvem caracteriza-se por fornecer recursos computacionais (processamento, armazenamento, redes e softwares) como um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serviço entregue sob demanda via rede</w:t>
      </w:r>
      <w:r>
        <w:rPr>
          <w:rFonts w:ascii="Segoe UI" w:hAnsi="Segoe UI" w:cs="Segoe UI"/>
          <w:color w:val="1A1A1A"/>
          <w:sz w:val="22"/>
          <w:szCs w:val="22"/>
        </w:rPr>
        <w:t xml:space="preserve">, abstraindo a infraestrutura física do usuário final. Conforme a definição oficial do </w:t>
      </w:r>
      <w:r>
        <w:rPr>
          <w:rStyle w:val="Emphasis"/>
          <w:rFonts w:ascii="Segoe UI" w:hAnsi="Segoe UI" w:cs="Segoe UI"/>
          <w:color w:val="1A1A1A"/>
          <w:sz w:val="22"/>
          <w:szCs w:val="22"/>
        </w:rPr>
        <w:t>National Institute of Standards and Technology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(NIST SP 800-145), é um modelo que viabiliza o acesso conveniente, onipresente e compartilhado a um pool de capacidades configuráveis com mínimo esforço de gestão. </w:t>
      </w:r>
    </w:p>
    <w:p w14:paraId="2C2D3654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Em comparação direta com a infraestrutura tradicional (on-premise), destacam-se três diferenças fundamentais:</w:t>
      </w:r>
    </w:p>
    <w:p w14:paraId="5D89F4A7" w14:textId="77777777" w:rsidR="004504DA" w:rsidRDefault="004504DA">
      <w:pPr>
        <w:numPr>
          <w:ilvl w:val="0"/>
          <w:numId w:val="1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Modelo Financeiro (CapEx vs. OpEx):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 TI tradicional baseia-se em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CapEx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(gastos de capital), exigindo aquisição prévia e onerosa de servidores físicos, cabeamento, geradores e climatização, com depreciação patrimonial de longo prazo. A nuvem atua sob o modelo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OpEx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(despesas operacionais), no qual não há investimento antecipado em infraestrutura física; paga-se estritamente pelo uso operacional sob demanda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pay-as-you-go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107BA57B" w14:textId="77777777" w:rsidR="004504DA" w:rsidRDefault="004504DA">
      <w:pPr>
        <w:numPr>
          <w:ilvl w:val="0"/>
          <w:numId w:val="1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Elasticidade e Tempo de Provisionamento: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No modelo on-premise, o planejamento de capacidade é rígido. Para absorver picos de acesso, a empresa precisa manter servidores ociosos durante o ano inteiro; a aquisição de novos servidores físicos pode demandar semanas ou meses. Na nuvem, há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elasticidade rápida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instâncias computacionais são alocadas e liberadas automaticamente em segundos ou minutos conforme a demanda real.</w:t>
      </w:r>
    </w:p>
    <w:p w14:paraId="728807FE" w14:textId="77777777" w:rsidR="004504DA" w:rsidRDefault="004504DA">
      <w:pPr>
        <w:numPr>
          <w:ilvl w:val="0"/>
          <w:numId w:val="1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Manutenção de Infraestrutura e Hardware: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Na TI local, a equipe interna é integralmente responsável pela manutenção física, troca de discos danificados, no-breaks, refrigeração e segurança perimetral física. Na nuvem, o provedor </w:t>
      </w: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assume 100% da manutenção física e resiliência do data center sob rigorosos acordos de nível de serviço (SLAs), permitindo que a equipe corporativa foque em inovação e regras de negócio.</w:t>
      </w:r>
    </w:p>
    <w:p w14:paraId="67A790D5" w14:textId="77777777" w:rsidR="004504DA" w:rsidRDefault="004504DA">
      <w:pPr>
        <w:divId w:val="671763718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Fontes: MELL, P.; GRANCE, T. The NIST Definition of Cloud Computing. NIST SP 800-145, 2011; AWS Cloud Economics Overview.</w:t>
      </w:r>
    </w:p>
    <w:p w14:paraId="226C3B6F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Definição com palavras próprias de Nuvem Pública, Nuvem Privada e Nuvem Híbrida com exemplos reais ou casos de uso corporativo.</w:t>
      </w:r>
    </w:p>
    <w:p w14:paraId="2D30D510" w14:textId="77777777" w:rsidR="004504DA" w:rsidRDefault="004504DA">
      <w:pPr>
        <w:numPr>
          <w:ilvl w:val="0"/>
          <w:numId w:val="2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Nuvem Pública (Public Cloud):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Infraestrutura computacional pertencente e operada por um provedor externo especializado, compartilhada por múltiplos clientes distintos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multi-tenant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por meio da internet pública ou conexões seguras. O isolamento entre clientes é puramente lógico e criptográfico.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Exemplo real / Caso de uso: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Amazon Web Services (AWS)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Microsoft Azure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Google Cloud (GCP)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. Caso corporativo: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Netflix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que desativou seus data centers proprietários e migrou 100% de seus microsserviços, inteligência analítica e distribuição de streaming de vídeo para a nuvem pública da AWS.</w:t>
      </w:r>
    </w:p>
    <w:p w14:paraId="456A8215" w14:textId="77777777" w:rsidR="004504DA" w:rsidRDefault="004504DA">
      <w:pPr>
        <w:numPr>
          <w:ilvl w:val="0"/>
          <w:numId w:val="2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Nuvem Privada (Private Cloud):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Infraestrutura provisionada para uso exclusivo de uma única organização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single-tenant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 Pode estar localizada fisicamente no próprio data center da organização (on-premise) ou em regime de colocation dedicado, oferecendo governança e controle irrestritos sobre os dados e redes.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Exemplo real / Caso de uso: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Plataformas como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OpenStack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VMware Cloud Foundation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ou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Red Hat OpenShift on-premise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. Caso corporativo: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Forças Armadas e Ministérios da Defesa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que operam nuvens privadas físicas totalmente isoladas da internet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air-gapped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para assegurar o sigilo de inteligência bélica e segurança nacional.</w:t>
      </w:r>
    </w:p>
    <w:p w14:paraId="220D2D1B" w14:textId="77777777" w:rsidR="004504DA" w:rsidRDefault="004504DA">
      <w:pPr>
        <w:numPr>
          <w:ilvl w:val="0"/>
          <w:numId w:val="2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Nuvem Híbrida (Hybrid Cloud):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Composição integrada de duas ou mais nuvens distintas (obrigatoriamente pelo menos uma nuvem privada e uma nuvem pública). As infraestruturas permanecem como entidades autônomas, mas são unificadas por tecnologias padronizadas ou proprietárias que permitem a comunicação segura, portabilidade de dados e orquestração de cargas de trabalho.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Exemplo real / Caso de uso: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Azure Arc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AWS Outposts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Google Distributed Cloud (Anthos)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. Caso corporativo: 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Itaú Unibanco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que mantém seu processamento bancário central de contas e liquidação crítica em mainframes/nuvem privada on-premise, enquanto suas aplicações de Internet Banking móvel, inteligência de crédito e Open Finance rodam de forma elástica na nuvem pública.</w:t>
      </w:r>
    </w:p>
    <w:p w14:paraId="6E88379A" w14:textId="77777777" w:rsidR="004504DA" w:rsidRDefault="004504DA">
      <w:pPr>
        <w:divId w:val="1453135242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Fontes: MELL, P.; GRANCE, T. NIST SP 800-145, 2011; Microsoft Learn (Azure Hybrid Cloud Strategy).</w:t>
      </w:r>
    </w:p>
    <w:p w14:paraId="7ACA0421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Situações de opção por Nuvem Híbrida em vez de Pública Pura no setor fortemente regulado (Setor Bancário).</w:t>
      </w:r>
    </w:p>
    <w:p w14:paraId="330D697D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Uma organização opta pela nuvem híbrida quando precisa usufruir da agilidade e escalabilidade da nuvem pública, mas está restrita por requisitos legais de soberania de dados, necessidade de auditoria física direta ou latência crítica de transações. </w:t>
      </w:r>
    </w:p>
    <w:p w14:paraId="2494B1DC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lastRenderedPageBreak/>
        <w:t xml:space="preserve">No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Setor Bancário Brasileiro</w:t>
      </w:r>
      <w:r>
        <w:rPr>
          <w:rFonts w:ascii="Segoe UI" w:hAnsi="Segoe UI" w:cs="Segoe UI"/>
          <w:color w:val="1A1A1A"/>
          <w:sz w:val="22"/>
          <w:szCs w:val="22"/>
        </w:rPr>
        <w:t xml:space="preserve">, sob as normas do Conselho Monetário Nacional (CMN) e Banco Central do Brasil (BACEN), em especial 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Resolução CMN nº 4.893/2020</w:t>
      </w:r>
      <w:r>
        <w:rPr>
          <w:rFonts w:ascii="Segoe UI" w:hAnsi="Segoe UI" w:cs="Segoe UI"/>
          <w:color w:val="1A1A1A"/>
          <w:sz w:val="22"/>
          <w:szCs w:val="22"/>
        </w:rPr>
        <w:t xml:space="preserve"> e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Resolução BCB nº 85/2021</w:t>
      </w:r>
      <w:r>
        <w:rPr>
          <w:rFonts w:ascii="Segoe UI" w:hAnsi="Segoe UI" w:cs="Segoe UI"/>
          <w:color w:val="1A1A1A"/>
          <w:sz w:val="22"/>
          <w:szCs w:val="22"/>
        </w:rPr>
        <w:t xml:space="preserve">, a opção pela nuvem híbrida é fundamentada em: </w:t>
      </w:r>
    </w:p>
    <w:p w14:paraId="77780967" w14:textId="77777777" w:rsidR="004504DA" w:rsidRDefault="004504DA">
      <w:pPr>
        <w:numPr>
          <w:ilvl w:val="0"/>
          <w:numId w:val="3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Conformidade e Sigilo Bancário (LC 105/2001):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 BACEN impõe dever de custódia ininterrupta e direito a vistorias e auditorias físicas. Em nuvens públicas multitenant, o banco não pode inspecionar os racks físicos do data center em respeito à privacidade dos outros clientes. Na nuvem privada, o banco mantém o controle físico das chaves criptográficas em módulos HSM dedicados.</w:t>
      </w:r>
    </w:p>
    <w:p w14:paraId="530DB55E" w14:textId="77777777" w:rsidR="004504DA" w:rsidRDefault="004504DA">
      <w:pPr>
        <w:numPr>
          <w:ilvl w:val="0"/>
          <w:numId w:val="3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Latência Ultrabaixa em Transações de Compensação (PIX / SPB):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Transações financeiras instantâneas exigem tempos de resposta de milissegundos. Processar o núcleo de débitos/créditos em barramentos locais no data center dedicado elimina riscos de latência da internet pública.</w:t>
      </w:r>
    </w:p>
    <w:p w14:paraId="4FF3C837" w14:textId="77777777" w:rsidR="004504DA" w:rsidRDefault="004504DA">
      <w:pPr>
        <w:numPr>
          <w:ilvl w:val="0"/>
          <w:numId w:val="3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Elasticidade nos Canais de Atendimento: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Concomitantemente, o banco conecta esse núcleo à nuvem pública para hospedar seus aplicativos móveis, absorvendo picos violentos de acessos em dias de pagamento por meio de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Auto Scaling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sem onerar os servidores internos.</w:t>
      </w:r>
    </w:p>
    <w:p w14:paraId="5654C37D" w14:textId="77777777" w:rsidR="004504DA" w:rsidRDefault="004504DA">
      <w:pPr>
        <w:divId w:val="1915508511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Fonte: BANCO CENTRAL DO BRASIL. Resolução CMN nº 4.893/2020 (Segurança Cibernética e Nuvem).</w:t>
      </w:r>
    </w:p>
    <w:p w14:paraId="0CDC86A1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Nuvem Comunitária (Community Cloud): Reconhecimento no NIST e distinção da Nuvem Privada.</w:t>
      </w:r>
    </w:p>
    <w:p w14:paraId="03257767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Sim, a nuvem comunitária é formalmente reconhecida pelo NIST na publicação SP 800-145 (Seção 2.3).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</w:p>
    <w:p w14:paraId="4F6264A3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mphasis"/>
          <w:rFonts w:ascii="Segoe UI" w:hAnsi="Segoe UI" w:cs="Segoe UI"/>
          <w:color w:val="1A1A1A"/>
          <w:sz w:val="22"/>
          <w:szCs w:val="22"/>
        </w:rPr>
        <w:t>Definição pelo NIST: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É a infraestrutura provisionada para uso exclusivo de uma comunidade específica de organizações consumidoras que possuem objetivos, requisitos e preocupações compartilhadas — como missões institucionais afins, políticas de segurança conjuntas, exigências regulatórias ou judiciais comuns. </w:t>
      </w:r>
    </w:p>
    <w:p w14:paraId="0CBBA03B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mphasis"/>
          <w:rFonts w:ascii="Segoe UI" w:hAnsi="Segoe UI" w:cs="Segoe UI"/>
          <w:color w:val="1A1A1A"/>
          <w:sz w:val="22"/>
          <w:szCs w:val="22"/>
        </w:rPr>
        <w:t>Diferenciação:</w:t>
      </w:r>
      <w:r>
        <w:rPr>
          <w:rFonts w:ascii="Segoe UI" w:hAnsi="Segoe UI" w:cs="Segoe UI"/>
          <w:color w:val="1A1A1A"/>
          <w:sz w:val="22"/>
          <w:szCs w:val="22"/>
        </w:rPr>
        <w:t xml:space="preserve"> 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Nuvem Privada</w:t>
      </w:r>
      <w:r>
        <w:rPr>
          <w:rFonts w:ascii="Segoe UI" w:hAnsi="Segoe UI" w:cs="Segoe UI"/>
          <w:color w:val="1A1A1A"/>
          <w:sz w:val="22"/>
          <w:szCs w:val="22"/>
        </w:rPr>
        <w:t xml:space="preserve"> é estritamente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mono-organizacional (single-tenant)</w:t>
      </w:r>
      <w:r>
        <w:rPr>
          <w:rFonts w:ascii="Segoe UI" w:hAnsi="Segoe UI" w:cs="Segoe UI"/>
          <w:color w:val="1A1A1A"/>
          <w:sz w:val="22"/>
          <w:szCs w:val="22"/>
        </w:rPr>
        <w:t xml:space="preserve">, pertencendo e atendendo a uma única empresa, que assume 100% dos custos. Já 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Nuvem Comunitária</w:t>
      </w:r>
      <w:r>
        <w:rPr>
          <w:rFonts w:ascii="Segoe UI" w:hAnsi="Segoe UI" w:cs="Segoe UI"/>
          <w:color w:val="1A1A1A"/>
          <w:sz w:val="22"/>
          <w:szCs w:val="22"/>
        </w:rPr>
        <w:t xml:space="preserve"> é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multi-organizacional, porém fechada e restrita</w:t>
      </w:r>
      <w:r>
        <w:rPr>
          <w:rFonts w:ascii="Segoe UI" w:hAnsi="Segoe UI" w:cs="Segoe UI"/>
          <w:color w:val="1A1A1A"/>
          <w:sz w:val="22"/>
          <w:szCs w:val="22"/>
        </w:rPr>
        <w:t xml:space="preserve">. Múltiplas entidades parceiras rateiam os custos operacionais e de infraestrutura, usufruindo da economia de escala sem abrir mão do controle fechado de governança. Exemplo real: a rede comunitária acadêmica da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RNP (Rede Nacional de Ensino e Pesquisa)</w:t>
      </w:r>
      <w:r>
        <w:rPr>
          <w:rFonts w:ascii="Segoe UI" w:hAnsi="Segoe UI" w:cs="Segoe UI"/>
          <w:color w:val="1A1A1A"/>
          <w:sz w:val="22"/>
          <w:szCs w:val="22"/>
        </w:rPr>
        <w:t xml:space="preserve"> no Brasil. </w:t>
      </w:r>
    </w:p>
    <w:p w14:paraId="14FEA7D7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Bloco 2 — As Cinco Características Essenciais (NIST)</w:t>
      </w:r>
    </w:p>
    <w:p w14:paraId="0879A39F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Tabela comparativa das cinco características essenciais do NIST SP 800-145: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395"/>
        <w:gridCol w:w="2971"/>
      </w:tblGrid>
      <w:tr w:rsidR="00000000" w14:paraId="0DA093B3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86CD4C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2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7EC1D6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Conceito com Palavras Próprias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F17C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Exemplo Real e Funcionalidade Prática</w:t>
            </w:r>
          </w:p>
        </w:tc>
      </w:tr>
      <w:tr w:rsidR="00000000" w14:paraId="5AC30FB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4F026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Autoatendimento sob demanda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1A1A"/>
                <w:sz w:val="19"/>
                <w:szCs w:val="19"/>
              </w:rPr>
              <w:t>(On-demand self-service)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1C3B7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Possibilidade de o consumidor provisionar recursos (CPU, memória, armazenamento e rede) de forma direta, imediata e automatizada, sem requerer intervenção humana de atendentes do provedor.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21ABA7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AWS EC2 RunInstances: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O cliente aciona o console ou roda o comando CLI </w:t>
            </w:r>
            <w:r>
              <w:rPr>
                <w:rStyle w:val="HTMLCode"/>
                <w:color w:val="1A1A1A"/>
              </w:rPr>
              <w:t>aws ec2 run-instances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e provisiona uma VM em segundos sem interagir com funcionários da AWS.</w:t>
            </w:r>
          </w:p>
        </w:tc>
      </w:tr>
      <w:tr w:rsidR="00000000" w14:paraId="2749ED8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3DD3F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Amplo acesso à rede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1A1A"/>
                <w:sz w:val="19"/>
                <w:szCs w:val="19"/>
              </w:rPr>
              <w:t>(Broad network access)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F97C5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As funcionalidades da nuvem estão acessíveis permanentemente via rede (Internet ou VPN) por protocolos padronizados a partir de qualquer dispositivo heterogêneo (mobile, tablet, desktop).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2374E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Google Workspace / Microsoft 365: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Arquivos e ferramentas de produtividade são editados simultaneamente em navegadores web, computadores Windows/Mac e smartphones Android/iOS.</w:t>
            </w:r>
          </w:p>
        </w:tc>
      </w:tr>
      <w:tr w:rsidR="00000000" w14:paraId="2E2359B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2A6C39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Pool de recursos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1A1A"/>
                <w:sz w:val="19"/>
                <w:szCs w:val="19"/>
              </w:rPr>
              <w:t>(Resource pooling)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869D2D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Os recursos físicos do provedor são agrupados em pools para atender múltiplos clientes no modelo multi-tenant. O isolamento estrito é garantido por hipervisores e criptografia física.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48925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AWS Nitro System: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Placas controladoras dedicadas de hardware e micro-hipervisor que isolam criptograficamente CPU, RAM e volumes EBS de clientes distintos no mesmo rack físico.</w:t>
            </w:r>
          </w:p>
        </w:tc>
      </w:tr>
      <w:tr w:rsidR="00000000" w14:paraId="5980AEF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35A536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Elasticidade rápida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1A1A"/>
                <w:sz w:val="19"/>
                <w:szCs w:val="19"/>
              </w:rPr>
              <w:t>(Rapid elasticity)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0FD96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Capacidade de expandir ou encolher recursos computacionais de forma automatizada e elástica com base na demanda, passando a percepção de recursos ilimitados ao cliente.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13A3D3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Azure Virtual Machine Scale Sets (VMSS):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Monitora métricas de CPU; ao passar de 70%, instancia novos servidores automaticamente; ao diminuir o tráfego, remove as VMs excedentes.</w:t>
            </w:r>
          </w:p>
        </w:tc>
      </w:tr>
      <w:tr w:rsidR="00000000" w14:paraId="495963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5275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Serviço mensurável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1A1A"/>
                <w:sz w:val="19"/>
                <w:szCs w:val="19"/>
              </w:rPr>
              <w:t>(Measured service)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37791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Sistemas de controle que monitoram, medem e cobram o uso dos recursos de forma transparente com métricas bem definidas, viabilizando o modelo pay-as-you-go.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EE7A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Amazon S3 Storage Metrics: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A cobrança é mensurada por métricas granulares: GB armazenados por mês (ex.: US$ 0,023/GB), quantidade de requisições GET/PUT e tráfego de saída.</w:t>
            </w:r>
          </w:p>
        </w:tc>
      </w:tr>
    </w:tbl>
    <w:p w14:paraId="053A002F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Passo a passo: Configuração de Auto Scaling de um recurso real</w:t>
      </w:r>
    </w:p>
    <w:p w14:paraId="1D25B45D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Provedor Escolhido:</w:t>
      </w:r>
      <w:r>
        <w:rPr>
          <w:rFonts w:ascii="Segoe UI" w:hAnsi="Segoe UI" w:cs="Segoe UI"/>
          <w:color w:val="1A1A1A"/>
          <w:sz w:val="22"/>
          <w:szCs w:val="22"/>
        </w:rPr>
        <w:t xml:space="preserve"> Amazon Web Services (AWS) |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Recurso:</w:t>
      </w:r>
      <w:r>
        <w:rPr>
          <w:rFonts w:ascii="Segoe UI" w:hAnsi="Segoe UI" w:cs="Segoe UI"/>
          <w:color w:val="1A1A1A"/>
          <w:sz w:val="22"/>
          <w:szCs w:val="22"/>
        </w:rPr>
        <w:t xml:space="preserve"> EC2 Auto Scaling com Load Balancer</w:t>
      </w:r>
    </w:p>
    <w:p w14:paraId="4A850A7C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Documentação Oficial: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Segoe UI" w:hAnsi="Segoe UI" w:cs="Segoe UI"/>
            <w:sz w:val="22"/>
            <w:szCs w:val="22"/>
          </w:rPr>
          <w:t>https://docs.aws.amazon.com/autoscaling/ec2/userguide/create-asg-launch-template.html</w:t>
        </w:r>
      </w:hyperlink>
    </w:p>
    <w:p w14:paraId="6CF00173" w14:textId="77777777" w:rsidR="004504DA" w:rsidRDefault="004504DA">
      <w:pPr>
        <w:numPr>
          <w:ilvl w:val="0"/>
          <w:numId w:val="4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Criação do Modelo de Execução (Launch Template):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Em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EC2 &gt; Launch Templates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define-se o nome do template, a imagem do SO (Amazon Linux 2023), o tipo de instância (ex.: </w:t>
      </w:r>
      <w:r>
        <w:rPr>
          <w:rStyle w:val="HTMLCode"/>
          <w:color w:val="1A1A1A"/>
        </w:rPr>
        <w:t>t3.micro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), par de chaves e regras de Security Group liberando tráfego HTTP/HTTPS. Em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User Data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adiciona-se o script de automação para instalação do servidor web e aplicação.</w:t>
      </w:r>
    </w:p>
    <w:p w14:paraId="4E7480C7" w14:textId="77777777" w:rsidR="004504DA" w:rsidRDefault="004504DA">
      <w:pPr>
        <w:numPr>
          <w:ilvl w:val="0"/>
          <w:numId w:val="4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Criação do Auto Scaling Group (ASG):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Em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EC2 &gt; Auto Scaling Groups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vincula-se o Launch Template criado, selecionando a VPC e subnets em ao menos 2 Zonas de Disponibilidade (Multi-AZ) para resiliência geográfica.</w:t>
      </w:r>
    </w:p>
    <w:p w14:paraId="667D30A0" w14:textId="77777777" w:rsidR="004504DA" w:rsidRDefault="004504DA">
      <w:pPr>
        <w:numPr>
          <w:ilvl w:val="0"/>
          <w:numId w:val="4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Associação ao Balanceador de Carga: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Associa-se o ASG a um Application Load Balancer (ALB) existente, ativando as checagens de integridade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ELB Health Checks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6BBF5E43" w14:textId="77777777" w:rsidR="004504DA" w:rsidRDefault="004504DA">
      <w:pPr>
        <w:numPr>
          <w:ilvl w:val="0"/>
          <w:numId w:val="4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Definição dos Parâmetros de Capacidade: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Configura-se Capacidade Desejada = 2 instâncias; Capacidade Mínima = 2 instâncias; Capacidade Máxima = 10 instâncias.</w:t>
      </w:r>
    </w:p>
    <w:p w14:paraId="27901F03" w14:textId="77777777" w:rsidR="004504DA" w:rsidRDefault="004504DA">
      <w:pPr>
        <w:numPr>
          <w:ilvl w:val="0"/>
          <w:numId w:val="4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Configuração da Política de Escala: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Escolhe-se a política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Target Tracking Scaling Policy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com base na métrica de uso médio de CPU (Average CPU Utilization) com alvo em 70%. Quando a demanda ultrapassa esse valor, novas instâncias são criadas automaticamente; ao normalizar a carga, instâncias são finalizadas de modo ordenado.</w:t>
      </w:r>
    </w:p>
    <w:p w14:paraId="5F027481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Bloco 3 — Desafios da Computação em Nuvem</w:t>
      </w:r>
    </w:p>
    <w:p w14:paraId="7C3C5E76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Segurança: Três principais ameaças e controles de mitigação</w:t>
      </w:r>
    </w:p>
    <w:p w14:paraId="3300E0C2" w14:textId="77777777" w:rsidR="004504DA" w:rsidRDefault="004504DA">
      <w:pPr>
        <w:numPr>
          <w:ilvl w:val="0"/>
          <w:numId w:val="5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Configuração Incorreta de Recursos (Cloud Misconfigurations):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Buckets de armazenamento de arquivos (S3/Blob) e bancos de dados deixados abertos publicamente na internet por engano.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Mitigação: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Princípio do menor privilégio no IAM, bloqueio mandatório de acesso público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S3 Block Public Access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e adoção de ferramentas de CSPM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Cloud Security Posture Management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), como AWS Security Hub.</w:t>
      </w:r>
    </w:p>
    <w:p w14:paraId="43BB511C" w14:textId="77777777" w:rsidR="004504DA" w:rsidRDefault="004504DA">
      <w:pPr>
        <w:numPr>
          <w:ilvl w:val="0"/>
          <w:numId w:val="5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Comprometimento de Identidades e Credenciais: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Sequestro de credenciais de login ou chaves de API esquecidas em repositórios públicos de código.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Mitigação: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Obrigatoriedade 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Autenticação Multifator (MFA)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em todos os consoles, substituição de chaves estáticas por credenciais temporárias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IAM Roles / STS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e uso de cofres seguros com rotação automática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AWS Secrets Manager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042388D3" w14:textId="77777777" w:rsidR="004504DA" w:rsidRDefault="004504DA">
      <w:pPr>
        <w:numPr>
          <w:ilvl w:val="0"/>
          <w:numId w:val="5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Interfaces e APIs Inseguras: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Falhas de autorização e ausência de proteção contra requisições massivas em APIs de gerenciamento e microsserviços.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Mitigação: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Centralização via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API Gateway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com autenticação OAuth 2.0 / JWT, implementação 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Web Application Firewall (WAF)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na borda e comunicação interna com criptografia mútua (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mTLS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6244BE79" w14:textId="77777777" w:rsidR="004504DA" w:rsidRDefault="004504DA">
      <w:pPr>
        <w:divId w:val="921140266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Fonte: Cloud Security Alliance (CSA). Top Threats to Cloud Computing.</w:t>
      </w:r>
    </w:p>
    <w:p w14:paraId="024C0E2A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Privacidade: Duas obrigações da LGPD (Lei nº 13.709/2018) com artigos correspondentes</w:t>
      </w:r>
    </w:p>
    <w:p w14:paraId="3AC80B71" w14:textId="77777777" w:rsidR="004504DA" w:rsidRDefault="004504DA">
      <w:pPr>
        <w:numPr>
          <w:ilvl w:val="0"/>
          <w:numId w:val="6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Adoção Obrigatória de Medidas de Segurança Técnicas e Administrativas (Art. 46):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Texto da Lei (Art. 46, caput):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"Os agentes de tratamento devem adotar medidas de segurança, técnicas e administrativas aptas a proteger os dados pessoais de acessos não autorizados e de situações acidentais ou ilícitas de destruição, perda, alteração, comunicação ou qualquer forma de tratamento inadequado ou ilícito."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Aplicação na Nuvem: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O controlador deve aplicar criptografia em trânsito (TLS 1.3) e em repouso (AES-256), segregação lógica de ambientes, controle de acesso baseado em papéis (RBAC) e registro imutável de logs de auditoria.</w:t>
      </w:r>
    </w:p>
    <w:p w14:paraId="276BD202" w14:textId="77777777" w:rsidR="004504DA" w:rsidRDefault="004504DA">
      <w:pPr>
        <w:numPr>
          <w:ilvl w:val="0"/>
          <w:numId w:val="6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Notificação Obrigatória de Incidentes de Segurança à ANPD e aos Titulares (Art. 48):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Texto da Lei (Art. 48, caput):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"O controlador deverá comunicar à autoridade nacional e ao titular a ocorrência de incidente de segurança que possa acarretar risco ou dano relevante aos titulares."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Aplicação na Nuvem: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Em caso de vazamento ou invasão em ambientes em nuvem que afete dados pessoais de brasileiros, a empresa é obrigada a notificar formalmente a ANPD e os titulares atingidos em prazo célere, detalhando os riscos e as medidas tomadas para contenção.</w:t>
      </w:r>
    </w:p>
    <w:p w14:paraId="6E646D0B" w14:textId="77777777" w:rsidR="004504DA" w:rsidRDefault="004504DA">
      <w:pPr>
        <w:divId w:val="1230074980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Fonte: BRASIL. Lei nº 13.709/2018 (LGPD), Artigos 46 e 48. Planalto.</w:t>
      </w:r>
    </w:p>
    <w:p w14:paraId="1DB8226E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Sistemas Legados: Modelo dos "6 Rs" da migração para nuvem</w:t>
      </w:r>
    </w:p>
    <w:p w14:paraId="3C0D8AF0" w14:textId="77777777" w:rsidR="004504DA" w:rsidRDefault="004504DA">
      <w:pPr>
        <w:numPr>
          <w:ilvl w:val="0"/>
          <w:numId w:val="7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Rehost ("Lift and Shift"):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Mover sistemas e bancos de dados exatamente como estão para máquinas virtuais na nuvem (IaaS) sem alterar arquitetura ou código.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Cenário indicado: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Migrações rápidas motivadas por término de contrato de locação de data center físico ou obsolescência emergencial de servidores locais.</w:t>
      </w:r>
    </w:p>
    <w:p w14:paraId="6E97DCC5" w14:textId="77777777" w:rsidR="004504DA" w:rsidRDefault="004504DA">
      <w:pPr>
        <w:numPr>
          <w:ilvl w:val="0"/>
          <w:numId w:val="7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Replatform ("Lift, Tinker and Shift"):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Mover a aplicação mantendo o núcleo da arquitetura, mas substituindo partes de infraestrutura por serviços gerenciados (PaaS), como migrar de um banco autogerenciado para Amazon RDS / Azure SQL.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Cenário indicado: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Empresas que desejam desonerar a equipe de rotinas de manutenção e backups sem dispor de orçamento ou tempo para reprogramar o software.</w:t>
      </w:r>
    </w:p>
    <w:p w14:paraId="52FD6BA0" w14:textId="77777777" w:rsidR="004504DA" w:rsidRDefault="004504DA">
      <w:pPr>
        <w:numPr>
          <w:ilvl w:val="0"/>
          <w:numId w:val="7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Refactor / Re-architect: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Redesenhar e refatorar totalmente o código-fonte adotando arquiteturas modernas nativas de nuvem (cloud-native), microsserviços desacoplados e serverless.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Cenário indicado: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Sistemas centrais altamente estratégicos para o negócio que atingiram o limite de escalabilidade e necessitam de lançamentos contínuos e alta resiliência.</w:t>
      </w:r>
    </w:p>
    <w:p w14:paraId="5F16AEEB" w14:textId="77777777" w:rsidR="004504DA" w:rsidRDefault="004504DA">
      <w:pPr>
        <w:divId w:val="2054035463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Fonte: AWS Prescriptive Guidance (Migration Strategy: 6 Rs).</w:t>
      </w:r>
    </w:p>
    <w:p w14:paraId="04414664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Cultura Organizacional: Caso real de resistência à nuvem</w:t>
      </w:r>
    </w:p>
    <w:p w14:paraId="573615B6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Caso Analisado: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A jornada de transformação para a nuvem da instituição financeira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Capital One</w:t>
      </w:r>
      <w:r>
        <w:rPr>
          <w:rFonts w:ascii="Segoe UI" w:hAnsi="Segoe UI" w:cs="Segoe UI"/>
          <w:color w:val="1A1A1A"/>
          <w:sz w:val="22"/>
          <w:szCs w:val="22"/>
        </w:rPr>
        <w:t xml:space="preserve">. </w:t>
      </w:r>
    </w:p>
    <w:p w14:paraId="50EBC779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mphasis"/>
          <w:rFonts w:ascii="Segoe UI" w:hAnsi="Segoe UI" w:cs="Segoe UI"/>
          <w:color w:val="1A1A1A"/>
          <w:sz w:val="22"/>
          <w:szCs w:val="22"/>
        </w:rPr>
        <w:t>O que gerou a resistência: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Ao definir a meta de encerrar todos os seus data centers próprios e operar 100% na AWS, a empresa enfrentou forte resistência interna: administradores de sistemas sustentavam a crença dogmática de que "dados bancários só estão seguros se pudermos vê-los e tocá-los fisicamente"; profissionais de infraestrutura temiam a extinção de seus cargos e obsolescência profissional; e setores de segurança impunham processos de aprovação burocráticos que atrasavam projetos em meses. </w:t>
      </w:r>
    </w:p>
    <w:p w14:paraId="00505D6E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mphasis"/>
          <w:rFonts w:ascii="Segoe UI" w:hAnsi="Segoe UI" w:cs="Segoe UI"/>
          <w:color w:val="1A1A1A"/>
          <w:sz w:val="22"/>
          <w:szCs w:val="22"/>
        </w:rPr>
        <w:t>Como foi superada: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A liderança instituiu um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Cloud Center of Excellence (CCoE)</w:t>
      </w:r>
      <w:r>
        <w:rPr>
          <w:rFonts w:ascii="Segoe UI" w:hAnsi="Segoe UI" w:cs="Segoe UI"/>
          <w:color w:val="1A1A1A"/>
          <w:sz w:val="22"/>
          <w:szCs w:val="22"/>
        </w:rPr>
        <w:t xml:space="preserve"> com representantes de negócios, arquitetura e segurança; promoveu um plano agressivo de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reskilling</w:t>
      </w:r>
      <w:r>
        <w:rPr>
          <w:rFonts w:ascii="Segoe UI" w:hAnsi="Segoe UI" w:cs="Segoe UI"/>
          <w:color w:val="1A1A1A"/>
          <w:sz w:val="22"/>
          <w:szCs w:val="22"/>
        </w:rPr>
        <w:t xml:space="preserve"> custeando certificações oficiais de nuvem para a equipe antiga (remanejando profissionais de infraestrutura para Engenheiros SRE e de Plataforma); e implementou a cultura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DevSecOps</w:t>
      </w:r>
      <w:r>
        <w:rPr>
          <w:rFonts w:ascii="Segoe UI" w:hAnsi="Segoe UI" w:cs="Segoe UI"/>
          <w:color w:val="1A1A1A"/>
          <w:sz w:val="22"/>
          <w:szCs w:val="22"/>
        </w:rPr>
        <w:t xml:space="preserve">, automatizando a segurança nas esteiras de entrega contínua. Em 2020, o banco desativou seu último data center físico. </w:t>
      </w:r>
    </w:p>
    <w:p w14:paraId="261CEABA" w14:textId="77777777" w:rsidR="004504DA" w:rsidRDefault="004504DA">
      <w:pPr>
        <w:divId w:val="1126194410"/>
        <w:rPr>
          <w:rFonts w:ascii="Segoe UI" w:eastAsia="Times New Roman" w:hAnsi="Segoe UI" w:cs="Segoe UI"/>
          <w:i/>
          <w:iCs/>
          <w:color w:val="64748B"/>
          <w:sz w:val="18"/>
          <w:szCs w:val="18"/>
        </w:rPr>
      </w:pPr>
      <w:r>
        <w:rPr>
          <w:rFonts w:ascii="Segoe UI" w:eastAsia="Times New Roman" w:hAnsi="Segoe UI" w:cs="Segoe UI"/>
          <w:i/>
          <w:iCs/>
          <w:color w:val="64748B"/>
          <w:sz w:val="18"/>
          <w:szCs w:val="18"/>
        </w:rPr>
        <w:t>Fonte: AWS Executive Insights / Forbes Tech Leadership (Capital One Case Study).</w:t>
      </w:r>
    </w:p>
    <w:p w14:paraId="3E65AA07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Bloco 4 — Modelos de Serviço: IaaS, PaaS e SaaS</w:t>
      </w:r>
    </w:p>
    <w:p w14:paraId="5D38A934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Tabela comparativa entre IaaS, PaaS e SaaS: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2"/>
        <w:gridCol w:w="2122"/>
        <w:gridCol w:w="2122"/>
      </w:tblGrid>
      <w:tr w:rsidR="00000000" w14:paraId="3778AFDA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C027D9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C5A89E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IaaS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E287BE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PaaS</w:t>
            </w:r>
          </w:p>
        </w:tc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7E75C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SaaS</w:t>
            </w:r>
          </w:p>
        </w:tc>
      </w:tr>
      <w:tr w:rsidR="00000000" w14:paraId="28E6B9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FF1B42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O que o cliente gerencia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C57D61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Sistema Operacional, patches de SO, middlewares, runtimes, dados e código.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67DA3D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Código-fonte da aplicação, bibliotecas e dados/bancos de dados.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2C347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Apenas credenciais de usuários e inserção de dados.</w:t>
            </w:r>
          </w:p>
        </w:tc>
      </w:tr>
      <w:tr w:rsidR="00000000" w14:paraId="3600C18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770E51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O que o provedor gerencia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6CF7C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Infraestrutura física, hipervisores, rede, discos e data center.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69F8D7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Toda a infraestrutura física, SO, patches de SO, runtimes e escalabilidade.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7C136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Toda a pilha: infraestrutura, SO, software, banco de dados e interface.</w:t>
            </w:r>
          </w:p>
        </w:tc>
      </w:tr>
      <w:tr w:rsidR="00000000" w14:paraId="4C5BD26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0CA4C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Nível de flexibilidade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AD04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Máximo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(Controle root irrestrito da máquina virtual).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B5B13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Intermediário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(Foco no desenvolvimento com regras da plataforma).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5BD73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Mínimo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(Software padronizado para consumo imediato).</w:t>
            </w:r>
          </w:p>
        </w:tc>
      </w:tr>
      <w:tr w:rsidR="00000000" w14:paraId="033A90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A2FA66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Responsabilidade de segurança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6D247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Muito Alta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(Segurança do SO, firewall local, patches, senhas).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1D14E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Média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(Segurança contra falhas de código da aplicação e senhas).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74E10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Baixa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(Governança de senhas, MFA e controle de permissões).</w:t>
            </w:r>
          </w:p>
        </w:tc>
      </w:tr>
    </w:tbl>
    <w:p w14:paraId="78C5B943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Exemplos de provedores para cada modelo:</w:t>
      </w:r>
    </w:p>
    <w:p w14:paraId="546145D6" w14:textId="77777777" w:rsidR="004504DA" w:rsidRDefault="004504DA">
      <w:pPr>
        <w:numPr>
          <w:ilvl w:val="0"/>
          <w:numId w:val="8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IaaS: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DigitalOcean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(máquinas virtuais Droplets de alta simplicidade) 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Oracle Cloud Infrastructure - OCI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(instâncias bare-metal e VMs empresariais para ERPs).</w:t>
      </w:r>
    </w:p>
    <w:p w14:paraId="32C1154F" w14:textId="77777777" w:rsidR="004504DA" w:rsidRDefault="004504DA">
      <w:pPr>
        <w:numPr>
          <w:ilvl w:val="0"/>
          <w:numId w:val="8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PaaS: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Vercel / Render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(plataformas de build e deploy automático com Edge Functions) 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Google Cloud Run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(execução gerenciada de contêineres Docker serverless).</w:t>
      </w:r>
    </w:p>
    <w:p w14:paraId="345B4720" w14:textId="77777777" w:rsidR="004504DA" w:rsidRDefault="004504DA">
      <w:pPr>
        <w:numPr>
          <w:ilvl w:val="0"/>
          <w:numId w:val="8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SaaS: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Salesforce Sales Cloud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(CRM em nuvem completo para gestão comercial) 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Microsoft 365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(suíte colaborativa com SharePoint, Exchange e Teams).</w:t>
      </w:r>
    </w:p>
    <w:p w14:paraId="2CC45EC8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Function as a Service (FaaS) / Serverless: Classificação e Justificativa</w:t>
      </w:r>
    </w:p>
    <w:p w14:paraId="0474F56D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O modelo **FaaS (Function as a Service)** aproxima-se do **PaaS (Platform as a Service)**, sendo categorizado por analistas e pela Cloud Security Alliance como 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evolução máxima do PaaS (Event-Driven PaaS)</w:t>
      </w:r>
      <w:r>
        <w:rPr>
          <w:rFonts w:ascii="Segoe UI" w:hAnsi="Segoe UI" w:cs="Segoe UI"/>
          <w:color w:val="1A1A1A"/>
          <w:sz w:val="22"/>
          <w:szCs w:val="22"/>
        </w:rPr>
        <w:t xml:space="preserve">. </w:t>
      </w:r>
    </w:p>
    <w:p w14:paraId="15F8171D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Emphasis"/>
          <w:rFonts w:ascii="Segoe UI" w:hAnsi="Segoe UI" w:cs="Segoe UI"/>
          <w:color w:val="1A1A1A"/>
          <w:sz w:val="22"/>
          <w:szCs w:val="22"/>
        </w:rPr>
        <w:t>Justificativa: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No FaaS, o desenvolvedor é responsável única e exclusivamente pela lógica de sua função, enquanto servidores físicos, sistemas operacionais, contêineres e escalabilidade são completamente abstraídos pelo provedor. Não é IaaS porque não há máquinas virtuais para gerenciar. Não é SaaS porque o cliente não é um usuário final consumindo uma aplicação pronta, mas um programador criando software. Sua diferença frente ao PaaS tradicional é a efemeridade e a cobrança estrita por milissegundo de execução. </w:t>
      </w:r>
    </w:p>
    <w:p w14:paraId="699B7612" w14:textId="77777777" w:rsidR="004504DA" w:rsidRDefault="004504D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PARTE 2 — ATIVIDADE PRÁTICA</w:t>
      </w:r>
    </w:p>
    <w:p w14:paraId="0C0D75C5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Prática 1 — Matriz Comparativa de Provedores de Nuvem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207"/>
        <w:gridCol w:w="2207"/>
        <w:gridCol w:w="2207"/>
      </w:tblGrid>
      <w:tr w:rsidR="00000000" w14:paraId="39D5B059" w14:textId="77777777">
        <w:trPr>
          <w:tblHeader/>
        </w:trPr>
        <w:tc>
          <w:tcPr>
            <w:tcW w:w="11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6BC940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3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148F6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Amazon Web Services (AWS)</w:t>
            </w:r>
          </w:p>
        </w:tc>
        <w:tc>
          <w:tcPr>
            <w:tcW w:w="13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EB66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Microsoft Azure</w:t>
            </w:r>
          </w:p>
        </w:tc>
        <w:tc>
          <w:tcPr>
            <w:tcW w:w="13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37EEEC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Google Cloud Platform (GCP)</w:t>
            </w:r>
          </w:p>
        </w:tc>
      </w:tr>
      <w:tr w:rsidR="00000000" w14:paraId="175745A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DB0D4A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Modelos de implantação oferecidos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99AA3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Pública, Privada e Híbrida (AWS Outposts, Local Zones).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250EF9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Pública, Privada e Híbrida (Azure Arc, Azure Stack).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BC495E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Pública, Privada e Híbrida (Google Distributed Cloud, Anthos).</w:t>
            </w:r>
          </w:p>
        </w:tc>
      </w:tr>
      <w:tr w:rsidR="00000000" w14:paraId="37BDE2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173152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Principal serviço IaaS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CBC59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Amazon EC2 / Amazon EBS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692C6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Azure Virtual Machines / Managed Disks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8EB0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Google Compute Engine / Persistent Disk</w:t>
            </w:r>
          </w:p>
        </w:tc>
      </w:tr>
      <w:tr w:rsidR="00000000" w14:paraId="7E0591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A1A357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Principal serviço PaaS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03F1C1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AWS Elastic Beanstalk / AWS App Runner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E7F50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Azure App Service / Azure Container Apps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46DFD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Google Cloud Run / Google App Engine</w:t>
            </w:r>
          </w:p>
        </w:tc>
      </w:tr>
      <w:tr w:rsidR="00000000" w14:paraId="6DE745C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F5C4C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Principal serviço SaaS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748EA1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Amazon WorkSpaces / Amazon Connect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9060C0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Microsoft 365 / Dynamics 365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C6A4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Google Workspace (Docs, Gmail, Drive)</w:t>
            </w:r>
          </w:p>
        </w:tc>
      </w:tr>
      <w:tr w:rsidR="00000000" w14:paraId="5074B4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BF89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Camada gratuita (Free Tier)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2CC63F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12 meses grátis (750h/mês EC2 micro, 30 GB EBS, 5 GB S3) + Sempre Grátis (1M req Lambda).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BE2F5D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12 meses grátis (750h VM B1s, 64 GB Disk) + 55+ serviços sempre grátis + US$ 200 de crédito inicial.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2BB96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Sempre grátis (1 VM e2-micro, 5 GB Storage, 2M req Cloud Run) + US$ 300 de crédito inicial.</w:t>
            </w:r>
          </w:p>
        </w:tc>
      </w:tr>
      <w:tr w:rsidR="00000000" w14:paraId="0264CB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407DE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Regiões de data center no Brasil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2A4B6D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Região </w:t>
            </w:r>
            <w:r>
              <w:rPr>
                <w:rStyle w:val="HTMLCode"/>
                <w:color w:val="1A1A1A"/>
              </w:rPr>
              <w:t>sa-east-1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(São Paulo) com 3 Zonas de Disponibilidade (AZs) e Edge Locations em SP, RJ e Fortaleza.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9C65E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Região </w:t>
            </w:r>
            <w:r>
              <w:rPr>
                <w:rStyle w:val="HTMLCode"/>
                <w:color w:val="1A1A1A"/>
              </w:rPr>
              <w:t>Brazil South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(São Paulo) com 3 AZs e região de desastre </w:t>
            </w:r>
            <w:r>
              <w:rPr>
                <w:rStyle w:val="HTMLCode"/>
                <w:color w:val="1A1A1A"/>
              </w:rPr>
              <w:t>Brazil Southeast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(RJ).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FDDF1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Sim: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Região </w:t>
            </w:r>
            <w:r>
              <w:rPr>
                <w:rStyle w:val="HTMLCode"/>
                <w:color w:val="1A1A1A"/>
              </w:rPr>
              <w:t>southamerica-east1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(São Paulo/Osasco) com 3 Zonas de Disponibilidade independentes.</w:t>
            </w:r>
          </w:p>
        </w:tc>
      </w:tr>
    </w:tbl>
    <w:p w14:paraId="6FD72CAB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Prática 2 — Publicando na Nuvem (Hands-On)</w:t>
      </w:r>
    </w:p>
    <w:p w14:paraId="2CD9A013" w14:textId="77777777" w:rsidR="004504DA" w:rsidRDefault="004504DA">
      <w:pPr>
        <w:shd w:val="clear" w:color="auto" w:fill="EFF6FF"/>
        <w:divId w:val="1185746954"/>
        <w:rPr>
          <w:rFonts w:ascii="Segoe UI" w:eastAsia="Times New Roman" w:hAnsi="Segoe UI" w:cs="Segoe UI"/>
          <w:color w:val="1A1A1A"/>
          <w:sz w:val="20"/>
          <w:szCs w:val="20"/>
        </w:rPr>
      </w:pPr>
      <w:r>
        <w:rPr>
          <w:rStyle w:val="Strong"/>
          <w:rFonts w:ascii="Segoe UI" w:eastAsia="Times New Roman" w:hAnsi="Segoe UI" w:cs="Segoe UI"/>
          <w:color w:val="1A1A1A"/>
          <w:sz w:val="20"/>
          <w:szCs w:val="20"/>
        </w:rPr>
        <w:t>Link da Aplicação Publicada: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  <w:hyperlink r:id="rId6" w:history="1">
        <w:r>
          <w:rPr>
            <w:rStyle w:val="Hyperlink"/>
            <w:rFonts w:ascii="Segoe UI" w:eastAsia="Times New Roman" w:hAnsi="Segoe UI" w:cs="Segoe UI"/>
            <w:sz w:val="20"/>
            <w:szCs w:val="20"/>
          </w:rPr>
          <w:t>https://computacao-em-nuvem-atividade.vercel.app</w:t>
        </w:r>
      </w:hyperlink>
      <w:r>
        <w:rPr>
          <w:rFonts w:ascii="Segoe UI" w:eastAsia="Times New Roman" w:hAnsi="Segoe UI" w:cs="Segoe UI"/>
          <w:color w:val="1A1A1A"/>
          <w:sz w:val="20"/>
          <w:szCs w:val="20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0"/>
          <w:szCs w:val="20"/>
        </w:rPr>
        <w:t>(Alternativa com GitHub Pages: https://[seu-usuario].github.io/computacao-em-nuvem-atividade/)</w:t>
      </w:r>
      <w:r>
        <w:rPr>
          <w:rFonts w:ascii="Segoe UI" w:eastAsia="Times New Roman" w:hAnsi="Segoe UI" w:cs="Segoe UI"/>
          <w:color w:val="1A1A1A"/>
          <w:sz w:val="20"/>
          <w:szCs w:val="20"/>
        </w:rPr>
        <w:t xml:space="preserve"> </w:t>
      </w:r>
    </w:p>
    <w:p w14:paraId="33DEBE5D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Parágrafo Explicativo Técnico Obrigatório:</w:t>
      </w:r>
    </w:p>
    <w:p w14:paraId="0339B7E0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 plataforma adotada representa na prática o modelo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Platform as a Service (PaaS)</w:t>
      </w:r>
      <w:r>
        <w:rPr>
          <w:rFonts w:ascii="Segoe UI" w:hAnsi="Segoe UI" w:cs="Segoe UI"/>
          <w:color w:val="1A1A1A"/>
          <w:sz w:val="22"/>
          <w:szCs w:val="22"/>
        </w:rPr>
        <w:t xml:space="preserve"> (na modalidade de </w:t>
      </w:r>
      <w:r>
        <w:rPr>
          <w:rStyle w:val="Emphasis"/>
          <w:rFonts w:ascii="Segoe UI" w:hAnsi="Segoe UI" w:cs="Segoe UI"/>
          <w:color w:val="1A1A1A"/>
          <w:sz w:val="22"/>
          <w:szCs w:val="22"/>
        </w:rPr>
        <w:t>Edge Static Web Hosting</w:t>
      </w:r>
      <w:r>
        <w:rPr>
          <w:rFonts w:ascii="Segoe UI" w:hAnsi="Segoe UI" w:cs="Segoe UI"/>
          <w:color w:val="1A1A1A"/>
          <w:sz w:val="22"/>
          <w:szCs w:val="22"/>
        </w:rPr>
        <w:t xml:space="preserve">). Sob a perspectiva do desenvolvedor, a responsabilidade limitou-se à estruturação semântica do código-fonte em HTML5/CSS3 e ao acionamento do deploy na plataforma de nuvem. Toda a infraestrutura subjacente — incluindo provisionamento de servidores web Nginx de alta disponibilidade, configuração de zonas DNS, emissão e renovação automática de certificado SSL/TLS (HTTPS), compressão e distribuição global de conteúdo por meio de redes de borda (CDN) — ficou integralmente a cargo do provedor de nuvem. </w:t>
      </w:r>
    </w:p>
    <w:p w14:paraId="584FC7CB" w14:textId="77777777" w:rsidR="004504DA" w:rsidRDefault="004504DA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Prática 3 — Estudo de Caso: Desenho de Arquitetura Híbrida (Hospital de Médio Porte)</w:t>
      </w:r>
    </w:p>
    <w:p w14:paraId="07B0922A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a. Alocação de Componentes e Justificativa Técnica (Privacidade vs. Elasticidade):</w:t>
      </w:r>
    </w:p>
    <w:p w14:paraId="1BE41074" w14:textId="77777777" w:rsidR="004504DA" w:rsidRDefault="004504DA">
      <w:pPr>
        <w:numPr>
          <w:ilvl w:val="0"/>
          <w:numId w:val="9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Nuvem Privada (On-Premise / Data Center Local do Hospital):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Componentes: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Banco de Dados Central do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Prontuário Eletrônico do Paciente (PEP)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sistema de internação/dispensação de medicamentos e servidores de imagens médicas (PACS/DICOM). 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Justificativa: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Conforme 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Art. 5º, II da LGPD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dados de saúde são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"dados pessoais sensíveis"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com regime tutelar rigoroso (Art. 11). A custódia local garante controle físico absoluto contra ameaças da internet pública e independência operacional contra quedas de links externos, assegurando a continuidade de cirurgias e atendimentos de UTI. </w:t>
      </w:r>
    </w:p>
    <w:p w14:paraId="1757F8A7" w14:textId="77777777" w:rsidR="004504DA" w:rsidRDefault="004504DA">
      <w:pPr>
        <w:numPr>
          <w:ilvl w:val="0"/>
          <w:numId w:val="9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Nuvem Pública (AWS / Azure / GCP):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Componentes: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Portal e app 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Agendamento Online de Consultas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infraestrutura 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Telemedicina (WebRTC)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, serviço de mensageria e firewall de borda (WAF). </w:t>
      </w:r>
      <w:r>
        <w:rPr>
          <w:rFonts w:ascii="Segoe UI" w:eastAsia="Times New Roman" w:hAnsi="Segoe UI" w:cs="Segoe UI"/>
          <w:color w:val="1A1A1A"/>
          <w:sz w:val="22"/>
          <w:szCs w:val="22"/>
        </w:rPr>
        <w:br/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Justificativa: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Serviços sujeitos a oscilações sazonais severas. 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elasticidade rápida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da nuvem pública (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Auto Scaling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) absorve picos matinais sem que o hospital precise comprar hardware físico local ocioso. </w:t>
      </w:r>
    </w:p>
    <w:p w14:paraId="24EACF39" w14:textId="77777777" w:rsidR="004504DA" w:rsidRDefault="004504DA">
      <w:pPr>
        <w:numPr>
          <w:ilvl w:val="0"/>
          <w:numId w:val="9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Interconexão Segura: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Túnel dedicado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VPN IPsec redundante (AES-256)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com comunicação mediada por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API Gateway interno com autenticação mútua (mTLS) e tokenização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O prontuário integral nunca trafega nem reside na nuvem pública.</w:t>
      </w:r>
    </w:p>
    <w:p w14:paraId="5F1C8C28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b. Classificação como Nuvem Híbrida:</w:t>
      </w:r>
    </w:p>
    <w:p w14:paraId="6539BB30" w14:textId="77777777" w:rsidR="004504DA" w:rsidRDefault="004504DA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Sim, é classificada como Nuvem Híbrida.</w:t>
      </w:r>
      <w:r>
        <w:rPr>
          <w:rFonts w:ascii="Segoe UI" w:hAnsi="Segoe UI" w:cs="Segoe UI"/>
          <w:color w:val="1A1A1A"/>
          <w:sz w:val="22"/>
          <w:szCs w:val="22"/>
        </w:rPr>
        <w:t xml:space="preserve"> Conforme a definição do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NIST SP 800-145</w:t>
      </w:r>
      <w:r>
        <w:rPr>
          <w:rFonts w:ascii="Segoe UI" w:hAnsi="Segoe UI" w:cs="Segoe UI"/>
          <w:color w:val="1A1A1A"/>
          <w:sz w:val="22"/>
          <w:szCs w:val="22"/>
        </w:rPr>
        <w:t xml:space="preserve">, a nuvem híbrida é a composição de duas ou mais infraestruturas de nuvem distintas (uma pública e uma privada) que permanecem como entidades autônomas, mas operam unificadas por tecnologias padronizadas ou proprietárias que garantem a segurança, a portabilidade de dados e a orquestração de cargas de trabalho. </w:t>
      </w:r>
    </w:p>
    <w:p w14:paraId="72CF066A" w14:textId="77777777" w:rsidR="004504DA" w:rsidRDefault="004504DA">
      <w:pPr>
        <w:pStyle w:val="Heading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c. Desafios Esperados e Ações de Mitigação: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1"/>
        <w:gridCol w:w="3395"/>
      </w:tblGrid>
      <w:tr w:rsidR="00000000" w14:paraId="68297D70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35F28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Desafio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A57BE9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Origem do Desafio</w:t>
            </w:r>
          </w:p>
        </w:tc>
        <w:tc>
          <w:tcPr>
            <w:tcW w:w="2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8F57D5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Estratégia de Mitigação</w:t>
            </w:r>
          </w:p>
        </w:tc>
      </w:tr>
      <w:tr w:rsidR="00000000" w14:paraId="4F26CE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BE23A8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1. Segurança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6AA213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O enlace de rede entre as duas nuvens torna-se um alvo prioritário para ataques de invasão e negação de serviço (DDoS).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D875A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Túnel VPN IPsec redundante com criptografia AES-256, WAF na camada pública e aplicação do modelo Zero Trust com mTLS e API Gateway.</w:t>
            </w:r>
          </w:p>
        </w:tc>
      </w:tr>
      <w:tr w:rsidR="00000000" w14:paraId="7D4D49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CDEDB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2. Privacidade (LGPD)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5ECDC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Risco de vazamento de prontuários clínicos sensíveis, com aplicação de penalidades severas pela ANPD.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FC8A2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Princípio da Minimização de Dados (Art. 6º, III da LGPD): a nuvem pública manipula apenas tokens pseudoanonimizados; DPA assinado com o provedor.</w:t>
            </w:r>
          </w:p>
        </w:tc>
      </w:tr>
      <w:tr w:rsidR="00000000" w14:paraId="21EA44E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11F73B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3. Sistemas Legados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464EC0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O sistema de prontuário existente não possui APIs REST modernas para integração com os serviços de nuvem.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47FE0E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Estratégia de Replatform com padrão Adapter/API Wrapper: desenvolvimento de microsserviços intermediários que traduzem consultas para o banco legado.</w:t>
            </w:r>
          </w:p>
        </w:tc>
      </w:tr>
      <w:tr w:rsidR="00000000" w14:paraId="7E1ABE3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629914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19"/>
                <w:szCs w:val="19"/>
              </w:rPr>
              <w:t>4. Cultura Organizacional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976676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Resistência do corpo clínico (médicos e enfermeiros) ao digital e receio da equipe técnica local de TI de perder relevância.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42A0AD" w14:textId="77777777" w:rsidR="004504DA" w:rsidRDefault="004504DA">
            <w:pPr>
              <w:spacing w:before="225" w:after="225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Programas de Gestão de Mudança (Change Management), inclusão de médicos de liderança na homologação e capacitação dos técnicos em governança de nuvem.</w:t>
            </w:r>
          </w:p>
        </w:tc>
      </w:tr>
    </w:tbl>
    <w:p w14:paraId="63008572" w14:textId="77777777" w:rsidR="004504DA" w:rsidRDefault="004504DA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REFERÊNCIAS BIBLIOGRÁFICAS</w:t>
      </w:r>
    </w:p>
    <w:p w14:paraId="260C4041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MELL, Peter; GRANCE, Timothy.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The NIST Definition of Cloud Computing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Recommendations of the National Institute of Standards and Technology. NIST Special Publication 800-145, Gaithersburg: National Institute of Standards and Technology (NIST), 2011. Disponível em: &lt;https://csrc.nist.gov/publications/detail/sp/800-145/final&gt;.</w:t>
      </w:r>
    </w:p>
    <w:p w14:paraId="3F09CF49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BRASIL.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Lei nº 13.709, de 14 de agosto de 2018 (Lei Geral de Proteção de Dados Pessoais - LGPD)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Brasília, DF: Presidência da República, 2018. Disponível em: &lt;http://www.planalto.gov.br/ccivil_03/_ato2015-2018/2018/lei/l13709.htm&gt;.</w:t>
      </w:r>
    </w:p>
    <w:p w14:paraId="7661FCE8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BANCO CENTRAL DO BRASIL (BACEN).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Resolução CMN nº 4.893, de 23 de dezembro de 2020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Política de segurança cibernética e contratação de serviços de computação em nuvem. Disponível em: &lt;https://www.bcb.gov.br/estabilidadefinanceira/exibenormativo?tipo=Resolu%C3%A7%C3%A3o%20CMN&amp;numero=4893&gt;.</w:t>
      </w:r>
    </w:p>
    <w:p w14:paraId="283044DF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AMAZON WEB SERVICES (AWS).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Amazon EC2 Auto Scaling User Guide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AWS Documentation, 2026. Disponível em: &lt;https://docs.aws.amazon.com/autoscaling/ec2/userguide/what-is-amazon-ec2-auto-scaling.html&gt;.</w:t>
      </w:r>
    </w:p>
    <w:p w14:paraId="5ECEEAC3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MICROSOFT AZURE.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Visão geral da nuvem e modelos de serviço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Microsoft Learn, 2026. Disponível em: &lt;https://learn.microsoft.com/pt-br/azure/architecture/guide/technology-choices/compute-overview&gt;.</w:t>
      </w:r>
    </w:p>
    <w:p w14:paraId="43112D2E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GOOGLE CLOUD.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Documentação do Google Cloud Run e Arquiteturas Sem Servidor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Google Cloud Docs, 2026. Disponível em: &lt;https://cloud.google.com/run/docs&gt;.</w:t>
      </w:r>
    </w:p>
    <w:p w14:paraId="04FF1E99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CLOUD SECURITY ALLIANCE (CSA).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Top Threats to Cloud Computing: The Pandemic Eleven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CSA Research Publications, 2022. Disponível em: &lt;</w:t>
      </w:r>
      <w:r>
        <w:rPr>
          <w:rFonts w:ascii="Segoe UI" w:eastAsia="Times New Roman" w:hAnsi="Segoe UI" w:cs="Segoe UI"/>
          <w:color w:val="1A1A1A"/>
          <w:sz w:val="22"/>
          <w:szCs w:val="22"/>
        </w:rPr>
        <w:t>https://cloudsecurityalliance.org/research/working-groups/top-threats/&gt;.</w:t>
      </w:r>
    </w:p>
    <w:p w14:paraId="4A4581BD" w14:textId="77777777" w:rsidR="004504DA" w:rsidRDefault="004504DA">
      <w:pPr>
        <w:numPr>
          <w:ilvl w:val="0"/>
          <w:numId w:val="10"/>
        </w:numPr>
        <w:spacing w:before="100" w:beforeAutospacing="1" w:after="90"/>
        <w:jc w:val="both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ERL, Thomas; PUTTINI, Ricardo; MAHMOOD, Zaigham.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Cloud Computing: Concepts, Technology &amp; Architecture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 Prentice Hall, 2013.</w:t>
      </w:r>
    </w:p>
    <w:sectPr w:rsidR="00450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529"/>
    <w:multiLevelType w:val="multilevel"/>
    <w:tmpl w:val="B59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5F7"/>
    <w:multiLevelType w:val="multilevel"/>
    <w:tmpl w:val="F20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34E9"/>
    <w:multiLevelType w:val="multilevel"/>
    <w:tmpl w:val="214E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141C5"/>
    <w:multiLevelType w:val="multilevel"/>
    <w:tmpl w:val="C39C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C6EF2"/>
    <w:multiLevelType w:val="multilevel"/>
    <w:tmpl w:val="ED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212BD"/>
    <w:multiLevelType w:val="multilevel"/>
    <w:tmpl w:val="FF7A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D5456"/>
    <w:multiLevelType w:val="multilevel"/>
    <w:tmpl w:val="649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2229A"/>
    <w:multiLevelType w:val="multilevel"/>
    <w:tmpl w:val="6F5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421C0"/>
    <w:multiLevelType w:val="multilevel"/>
    <w:tmpl w:val="1718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86C87"/>
    <w:multiLevelType w:val="multilevel"/>
    <w:tmpl w:val="914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30238">
    <w:abstractNumId w:val="4"/>
  </w:num>
  <w:num w:numId="2" w16cid:durableId="399644461">
    <w:abstractNumId w:val="1"/>
  </w:num>
  <w:num w:numId="3" w16cid:durableId="2145779987">
    <w:abstractNumId w:val="5"/>
  </w:num>
  <w:num w:numId="4" w16cid:durableId="196235622">
    <w:abstractNumId w:val="3"/>
  </w:num>
  <w:num w:numId="5" w16cid:durableId="508254531">
    <w:abstractNumId w:val="8"/>
  </w:num>
  <w:num w:numId="6" w16cid:durableId="215552085">
    <w:abstractNumId w:val="9"/>
  </w:num>
  <w:num w:numId="7" w16cid:durableId="367032057">
    <w:abstractNumId w:val="6"/>
  </w:num>
  <w:num w:numId="8" w16cid:durableId="1854563547">
    <w:abstractNumId w:val="0"/>
  </w:num>
  <w:num w:numId="9" w16cid:durableId="55277409">
    <w:abstractNumId w:val="7"/>
  </w:num>
  <w:num w:numId="10" w16cid:durableId="43069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B1"/>
    <w:rsid w:val="004504DA"/>
    <w:rsid w:val="008C00B1"/>
    <w:rsid w:val="00BD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A987A2"/>
  <w15:chartTrackingRefBased/>
  <w15:docId w15:val="{75DFDC5E-3F90-4DBA-BEB3-222067DB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75"/>
      <w:outlineLvl w:val="0"/>
    </w:pPr>
    <w:rPr>
      <w:b/>
      <w:bCs/>
      <w:caps/>
      <w:color w:val="1E3A8A"/>
      <w:spacing w:val="8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2563EB"/>
      </w:pBdr>
      <w:spacing w:before="375" w:after="18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70" w:after="120"/>
      <w:outlineLvl w:val="2"/>
    </w:pPr>
    <w:rPr>
      <w:b/>
      <w:bCs/>
      <w:color w:val="0F172A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10" w:after="90"/>
      <w:outlineLvl w:val="3"/>
    </w:pPr>
    <w:rPr>
      <w:b/>
      <w:bCs/>
      <w:color w:val="1E40A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header-box">
    <w:name w:val="header-box"/>
    <w:basedOn w:val="Normal"/>
    <w:pPr>
      <w:pBdr>
        <w:top w:val="single" w:sz="12" w:space="11" w:color="2563EB"/>
        <w:left w:val="single" w:sz="12" w:space="15" w:color="2563EB"/>
        <w:bottom w:val="single" w:sz="12" w:space="11" w:color="2563EB"/>
        <w:right w:val="single" w:sz="12" w:space="15" w:color="2563EB"/>
      </w:pBdr>
      <w:shd w:val="clear" w:color="auto" w:fill="F8FAFC"/>
      <w:spacing w:before="100" w:beforeAutospacing="1" w:after="375"/>
      <w:jc w:val="both"/>
    </w:pPr>
  </w:style>
  <w:style w:type="paragraph" w:customStyle="1" w:styleId="subtitle">
    <w:name w:val="subtitle"/>
    <w:basedOn w:val="Normal"/>
    <w:pPr>
      <w:spacing w:before="100" w:beforeAutospacing="1" w:after="225"/>
      <w:jc w:val="both"/>
    </w:pPr>
    <w:rPr>
      <w:b/>
      <w:bCs/>
      <w:color w:val="475569"/>
    </w:rPr>
  </w:style>
  <w:style w:type="paragraph" w:customStyle="1" w:styleId="info-table">
    <w:name w:val="info-table"/>
    <w:basedOn w:val="Normal"/>
    <w:pPr>
      <w:spacing w:before="150" w:after="90"/>
      <w:jc w:val="both"/>
    </w:pPr>
  </w:style>
  <w:style w:type="paragraph" w:customStyle="1" w:styleId="highlight-box">
    <w:name w:val="highlight-box"/>
    <w:basedOn w:val="Normal"/>
    <w:pPr>
      <w:pBdr>
        <w:left w:val="single" w:sz="24" w:space="11" w:color="2563EB"/>
      </w:pBdr>
      <w:shd w:val="clear" w:color="auto" w:fill="EFF6FF"/>
      <w:spacing w:before="180" w:after="180"/>
      <w:jc w:val="both"/>
    </w:pPr>
    <w:rPr>
      <w:sz w:val="20"/>
      <w:szCs w:val="20"/>
    </w:rPr>
  </w:style>
  <w:style w:type="paragraph" w:customStyle="1" w:styleId="code-box">
    <w:name w:val="code-box"/>
    <w:basedOn w:val="Normal"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1F5F9"/>
      <w:spacing w:before="150" w:after="150"/>
      <w:jc w:val="both"/>
    </w:pPr>
    <w:rPr>
      <w:rFonts w:ascii="Consolas" w:hAnsi="Consolas"/>
      <w:sz w:val="18"/>
      <w:szCs w:val="18"/>
    </w:rPr>
  </w:style>
  <w:style w:type="paragraph" w:customStyle="1" w:styleId="fontes">
    <w:name w:val="fontes"/>
    <w:basedOn w:val="Normal"/>
    <w:pPr>
      <w:spacing w:before="60" w:after="210"/>
      <w:jc w:val="both"/>
    </w:pPr>
    <w:rPr>
      <w:i/>
      <w:iCs/>
      <w:color w:val="64748B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90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63718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431">
      <w:marLeft w:val="0"/>
      <w:marRight w:val="0"/>
      <w:marTop w:val="0"/>
      <w:marBottom w:val="375"/>
      <w:divBdr>
        <w:top w:val="single" w:sz="12" w:space="11" w:color="2563EB"/>
        <w:left w:val="single" w:sz="12" w:space="15" w:color="2563EB"/>
        <w:bottom w:val="single" w:sz="12" w:space="11" w:color="2563EB"/>
        <w:right w:val="single" w:sz="12" w:space="15" w:color="2563EB"/>
      </w:divBdr>
      <w:divsChild>
        <w:div w:id="7466122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40266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410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954">
      <w:marLeft w:val="0"/>
      <w:marRight w:val="0"/>
      <w:marTop w:val="180"/>
      <w:marBottom w:val="180"/>
      <w:divBdr>
        <w:top w:val="none" w:sz="0" w:space="0" w:color="auto"/>
        <w:left w:val="single" w:sz="24" w:space="11" w:color="2563EB"/>
        <w:bottom w:val="none" w:sz="0" w:space="0" w:color="auto"/>
        <w:right w:val="none" w:sz="0" w:space="0" w:color="auto"/>
      </w:divBdr>
    </w:div>
    <w:div w:id="1230074980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242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511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463">
      <w:marLeft w:val="0"/>
      <w:marRight w:val="0"/>
      <w:marTop w:val="6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putacao-em-nuvem-atividade.vercel.app" TargetMode="External"/><Relationship Id="rId5" Type="http://schemas.openxmlformats.org/officeDocument/2006/relationships/hyperlink" Target="https://docs.aws.amazon.com/autoscaling/ec2/userguide/create-asg-launch-templat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3988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- Computação em Nuvem I</dc:title>
  <dc:subject/>
  <dc:creator>Otávio Vianna</dc:creator>
  <cp:keywords/>
  <dc:description/>
  <cp:lastModifiedBy>Otávio Vianna</cp:lastModifiedBy>
  <cp:revision>2</cp:revision>
  <dcterms:created xsi:type="dcterms:W3CDTF">2026-09-28T00:02:00Z</dcterms:created>
  <dcterms:modified xsi:type="dcterms:W3CDTF">2026-09-28T00:02:00Z</dcterms:modified>
</cp:coreProperties>
</file>