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32CCC9" w14:textId="3CB54C84" w:rsidR="002311C6" w:rsidRPr="00325944" w:rsidRDefault="00B403B9" w:rsidP="002311C6">
      <w:pPr>
        <w:pStyle w:val="NoSpacing"/>
        <w:rPr>
          <w:b/>
          <w:lang w:val="en-GB"/>
        </w:rPr>
      </w:pPr>
      <w:r>
        <w:rPr>
          <w:b/>
          <w:lang w:val="en-GB"/>
        </w:rPr>
        <w:t>Title</w:t>
      </w:r>
      <w:r w:rsidR="002311C6" w:rsidRPr="00325944">
        <w:rPr>
          <w:b/>
          <w:lang w:val="en-GB"/>
        </w:rPr>
        <w:t>:</w:t>
      </w:r>
    </w:p>
    <w:p w14:paraId="3B7110A3" w14:textId="5051ECF7" w:rsidR="00F65EA3" w:rsidRDefault="00F65EA3" w:rsidP="002311C6">
      <w:pPr>
        <w:pStyle w:val="NoSpacing"/>
        <w:rPr>
          <w:lang w:val="en-GB"/>
        </w:rPr>
      </w:pPr>
      <w:r>
        <w:rPr>
          <w:lang w:val="en-GB"/>
        </w:rPr>
        <w:t xml:space="preserve">Microwave spectroscopy of the </w:t>
      </w:r>
      <w:r w:rsidR="00B15DC0">
        <w:rPr>
          <w:lang w:val="en-GB"/>
        </w:rPr>
        <w:t>bistable spin-wave dispersion in thin-</w:t>
      </w:r>
      <w:r w:rsidR="00B15DC0">
        <w:rPr>
          <w:lang w:val="en-GB"/>
        </w:rPr>
        <w:t>film</w:t>
      </w:r>
      <w:r>
        <w:rPr>
          <w:lang w:val="en-GB"/>
        </w:rPr>
        <w:t xml:space="preserve"> gallium-doped yttrium iron garnet</w:t>
      </w:r>
      <w:r w:rsidR="00B15DC0">
        <w:rPr>
          <w:lang w:val="en-GB"/>
        </w:rPr>
        <w:t xml:space="preserve"> </w:t>
      </w:r>
    </w:p>
    <w:p w14:paraId="2A041F7A" w14:textId="51E8C65F" w:rsidR="000607B3" w:rsidRDefault="000607B3" w:rsidP="002311C6">
      <w:pPr>
        <w:pStyle w:val="NoSpacing"/>
        <w:rPr>
          <w:lang w:val="en-GB"/>
        </w:rPr>
      </w:pPr>
    </w:p>
    <w:p w14:paraId="798AC692" w14:textId="77777777" w:rsidR="00F65EA3" w:rsidRDefault="002311C6" w:rsidP="002311C6">
      <w:pPr>
        <w:pStyle w:val="NoSpacing"/>
        <w:rPr>
          <w:b/>
          <w:lang w:val="en-GB"/>
        </w:rPr>
      </w:pPr>
      <w:commentRangeStart w:id="0"/>
      <w:r w:rsidRPr="00AA3918">
        <w:rPr>
          <w:b/>
          <w:lang w:val="en-GB"/>
        </w:rPr>
        <w:t>Figures:</w:t>
      </w:r>
      <w:commentRangeEnd w:id="0"/>
      <w:r w:rsidR="00B403B9">
        <w:rPr>
          <w:rStyle w:val="CommentReference"/>
        </w:rPr>
        <w:commentReference w:id="0"/>
      </w:r>
    </w:p>
    <w:p w14:paraId="52F82366" w14:textId="2B3AB24E" w:rsidR="002311C6" w:rsidRPr="005C472A" w:rsidRDefault="005C472A" w:rsidP="002311C6">
      <w:pPr>
        <w:pStyle w:val="NoSpacing"/>
        <w:keepNext/>
        <w:rPr>
          <w:lang w:val="en-GB"/>
        </w:rPr>
      </w:pPr>
      <w:r w:rsidRPr="005C472A">
        <w:rPr>
          <w:noProof/>
          <w:lang w:eastAsia="nl-NL"/>
        </w:rPr>
        <w:drawing>
          <wp:inline distT="0" distB="0" distL="0" distR="0" wp14:anchorId="556CB929" wp14:editId="02CDC63D">
            <wp:extent cx="3060700" cy="2298700"/>
            <wp:effectExtent l="0" t="0" r="0" b="0"/>
            <wp:docPr id="2" name="Picture 2" descr="C:\Users\jcarmiggelt\Documents\Ga-YIG\Paper\Figures\Figure1\Fig1_V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carmiggelt\Documents\Ga-YIG\Paper\Figures\Figure1\Fig1_V1-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0917" w14:textId="6978DF18" w:rsidR="00F65EA3" w:rsidRDefault="002311C6" w:rsidP="00F65EA3">
      <w:pPr>
        <w:pStyle w:val="Caption"/>
        <w:rPr>
          <w:lang w:val="en-GB"/>
        </w:rPr>
      </w:pPr>
      <w:commentRangeStart w:id="1"/>
      <w:r w:rsidRPr="002311C6">
        <w:rPr>
          <w:lang w:val="en-GB"/>
        </w:rPr>
        <w:t xml:space="preserve">Figure </w:t>
      </w:r>
      <w:r>
        <w:fldChar w:fldCharType="begin"/>
      </w:r>
      <w:r w:rsidRPr="002311C6">
        <w:rPr>
          <w:lang w:val="en-GB"/>
        </w:rPr>
        <w:instrText xml:space="preserve"> SEQ Figuur \* ARABIC </w:instrText>
      </w:r>
      <w:r>
        <w:fldChar w:fldCharType="separate"/>
      </w:r>
      <w:r w:rsidR="0081538D">
        <w:rPr>
          <w:noProof/>
          <w:lang w:val="en-GB"/>
        </w:rPr>
        <w:t>1</w:t>
      </w:r>
      <w:r>
        <w:fldChar w:fldCharType="end"/>
      </w:r>
      <w:r w:rsidR="00DF078E">
        <w:rPr>
          <w:lang w:val="en-GB"/>
        </w:rPr>
        <w:t xml:space="preserve"> Characterizing the </w:t>
      </w:r>
      <w:r w:rsidR="00F65EA3">
        <w:rPr>
          <w:lang w:val="en-GB"/>
        </w:rPr>
        <w:t xml:space="preserve">saturation </w:t>
      </w:r>
      <w:r w:rsidR="00DF078E">
        <w:rPr>
          <w:lang w:val="en-GB"/>
        </w:rPr>
        <w:t xml:space="preserve">magnetization </w:t>
      </w:r>
      <w:r w:rsidR="00F65EA3">
        <w:rPr>
          <w:lang w:val="en-GB"/>
        </w:rPr>
        <w:t xml:space="preserve">and anisotropy </w:t>
      </w:r>
      <w:r>
        <w:rPr>
          <w:lang w:val="en-GB"/>
        </w:rPr>
        <w:t xml:space="preserve">of a </w:t>
      </w:r>
      <w:r w:rsidR="00DF078E">
        <w:rPr>
          <w:lang w:val="en-GB"/>
        </w:rPr>
        <w:t xml:space="preserve">45-nm-thick </w:t>
      </w:r>
      <w:r>
        <w:rPr>
          <w:lang w:val="en-GB"/>
        </w:rPr>
        <w:t>Ga:YIG film</w:t>
      </w:r>
      <w:r w:rsidR="00F65EA3">
        <w:rPr>
          <w:lang w:val="en-GB"/>
        </w:rPr>
        <w:t xml:space="preserve">. </w:t>
      </w:r>
      <w:r w:rsidR="001F0952">
        <w:rPr>
          <w:lang w:val="en-GB"/>
        </w:rPr>
        <w:t>(</w:t>
      </w:r>
      <w:r w:rsidR="001F0952" w:rsidRPr="001F0952">
        <w:rPr>
          <w:b/>
          <w:lang w:val="en-GB"/>
        </w:rPr>
        <w:t>a</w:t>
      </w:r>
      <w:r w:rsidR="001F0952">
        <w:rPr>
          <w:lang w:val="en-GB"/>
        </w:rPr>
        <w:t>)</w:t>
      </w:r>
      <w:r>
        <w:rPr>
          <w:lang w:val="en-GB"/>
        </w:rPr>
        <w:t xml:space="preserve"> </w:t>
      </w:r>
      <w:r w:rsidR="009109EC">
        <w:rPr>
          <w:lang w:val="en-GB"/>
        </w:rPr>
        <w:t>Hysteresis loop of the magnetisation</w:t>
      </w:r>
      <w:r w:rsidR="001F0952">
        <w:rPr>
          <w:lang w:val="en-GB"/>
        </w:rPr>
        <w:t xml:space="preserve"> as a function of out-of-plane magnetic field</w:t>
      </w:r>
      <w:r w:rsidR="00F65EA3">
        <w:rPr>
          <w:lang w:val="en-GB"/>
        </w:rPr>
        <w:t xml:space="preserve"> B</w:t>
      </w:r>
      <w:r w:rsidR="00F65EA3">
        <w:rPr>
          <w:vertAlign w:val="subscript"/>
          <w:lang w:val="en-GB"/>
        </w:rPr>
        <w:t>0</w:t>
      </w:r>
      <w:r w:rsidR="001F0952">
        <w:rPr>
          <w:lang w:val="en-GB"/>
        </w:rPr>
        <w:t xml:space="preserve"> measured using vibrating sa</w:t>
      </w:r>
      <w:r w:rsidR="00F65EA3">
        <w:rPr>
          <w:lang w:val="en-GB"/>
        </w:rPr>
        <w:t>mple magnetometry. We extract a</w:t>
      </w:r>
      <w:r w:rsidR="009109EC">
        <w:rPr>
          <w:lang w:val="en-GB"/>
        </w:rPr>
        <w:t xml:space="preserve"> saturation magnetisation</w:t>
      </w:r>
      <w:r w:rsidR="00F65EA3">
        <w:rPr>
          <w:lang w:val="en-GB"/>
        </w:rPr>
        <w:t xml:space="preserve"> of </w:t>
      </w:r>
      <w:r w:rsidR="009109EC">
        <w:rPr>
          <w:lang w:val="en-GB"/>
        </w:rPr>
        <w:t>4piMs</w:t>
      </w:r>
      <w:r w:rsidR="00F65EA3">
        <w:rPr>
          <w:lang w:val="en-GB"/>
        </w:rPr>
        <w:t>=191G.</w:t>
      </w:r>
      <w:r w:rsidR="009109EC">
        <w:rPr>
          <w:lang w:val="en-GB"/>
        </w:rPr>
        <w:t xml:space="preserve"> (</w:t>
      </w:r>
      <w:r w:rsidR="009109EC" w:rsidRPr="009109EC">
        <w:rPr>
          <w:b/>
          <w:lang w:val="en-GB"/>
        </w:rPr>
        <w:t>b</w:t>
      </w:r>
      <w:r w:rsidR="009109EC">
        <w:rPr>
          <w:lang w:val="en-GB"/>
        </w:rPr>
        <w:t>)</w:t>
      </w:r>
      <w:r w:rsidR="00FD424F">
        <w:rPr>
          <w:lang w:val="en-GB"/>
        </w:rPr>
        <w:t xml:space="preserve"> </w:t>
      </w:r>
      <w:r w:rsidR="00BA69D1">
        <w:rPr>
          <w:lang w:val="en-GB"/>
        </w:rPr>
        <w:t xml:space="preserve">Broadband flip-chip FMR measurement </w:t>
      </w:r>
      <w:r w:rsidR="008B71C2">
        <w:rPr>
          <w:lang w:val="en-GB"/>
        </w:rPr>
        <w:t>using</w:t>
      </w:r>
      <w:r w:rsidR="00BA69D1">
        <w:rPr>
          <w:lang w:val="en-GB"/>
        </w:rPr>
        <w:t xml:space="preserve"> an in-plane magnetic field</w:t>
      </w:r>
      <w:r w:rsidR="00F65EA3">
        <w:rPr>
          <w:lang w:val="en-GB"/>
        </w:rPr>
        <w:t xml:space="preserve"> </w:t>
      </w:r>
      <w:r w:rsidR="00F65EA3">
        <w:rPr>
          <w:lang w:val="en-GB"/>
        </w:rPr>
        <w:t>B</w:t>
      </w:r>
      <w:r w:rsidR="00F65EA3">
        <w:rPr>
          <w:vertAlign w:val="subscript"/>
          <w:lang w:val="en-GB"/>
        </w:rPr>
        <w:t>0</w:t>
      </w:r>
      <w:r w:rsidR="00BA69D1">
        <w:rPr>
          <w:lang w:val="en-GB"/>
        </w:rPr>
        <w:t xml:space="preserve"> parallel to a 180-um-wide excitation stripline. </w:t>
      </w:r>
      <w:r w:rsidR="00234163">
        <w:rPr>
          <w:lang w:val="en-GB"/>
        </w:rPr>
        <w:t>By fitting the FMR-frequ</w:t>
      </w:r>
      <w:r w:rsidR="00FD424F">
        <w:rPr>
          <w:lang w:val="en-GB"/>
        </w:rPr>
        <w:t>ency</w:t>
      </w:r>
      <w:r w:rsidR="00BA69D1">
        <w:rPr>
          <w:lang w:val="en-GB"/>
        </w:rPr>
        <w:t xml:space="preserve"> extracted from the field-derivative of t</w:t>
      </w:r>
      <w:r w:rsidR="008B71C2">
        <w:rPr>
          <w:lang w:val="en-GB"/>
        </w:rPr>
        <w:t xml:space="preserve">he microwave transmission |S_12| </w:t>
      </w:r>
      <w:r w:rsidR="00325944">
        <w:rPr>
          <w:lang w:val="en-GB"/>
        </w:rPr>
        <w:t xml:space="preserve">(dashed black line) </w:t>
      </w:r>
      <w:r w:rsidR="00FB0727">
        <w:rPr>
          <w:lang w:val="en-GB"/>
        </w:rPr>
        <w:t xml:space="preserve">we determine the </w:t>
      </w:r>
      <w:r w:rsidR="00234163">
        <w:rPr>
          <w:lang w:val="en-GB"/>
        </w:rPr>
        <w:t xml:space="preserve">out-of-plane </w:t>
      </w:r>
      <w:r w:rsidR="00FB0727">
        <w:rPr>
          <w:lang w:val="en-GB"/>
        </w:rPr>
        <w:t xml:space="preserve">magnetocrystalline </w:t>
      </w:r>
      <w:r w:rsidR="00F65EA3">
        <w:rPr>
          <w:lang w:val="en-GB"/>
        </w:rPr>
        <w:t>anisotropy constant Ku=485G</w:t>
      </w:r>
      <w:r w:rsidR="00FB0727">
        <w:rPr>
          <w:lang w:val="en-GB"/>
        </w:rPr>
        <w:t xml:space="preserve">. </w:t>
      </w:r>
      <w:commentRangeEnd w:id="1"/>
      <w:r w:rsidR="00B403B9">
        <w:rPr>
          <w:rStyle w:val="CommentReference"/>
          <w:i w:val="0"/>
          <w:iCs w:val="0"/>
          <w:color w:val="auto"/>
        </w:rPr>
        <w:commentReference w:id="1"/>
      </w:r>
    </w:p>
    <w:p w14:paraId="1590F2B1" w14:textId="34B7A0C0" w:rsidR="008F7AAC" w:rsidRDefault="005C472A" w:rsidP="008F7AAC">
      <w:pPr>
        <w:keepNext/>
      </w:pPr>
      <w:r w:rsidRPr="005C472A">
        <w:rPr>
          <w:noProof/>
          <w:lang w:eastAsia="nl-NL"/>
        </w:rPr>
        <w:drawing>
          <wp:inline distT="0" distB="0" distL="0" distR="0" wp14:anchorId="15FF3A35" wp14:editId="412E9FDC">
            <wp:extent cx="3060700" cy="4324350"/>
            <wp:effectExtent l="0" t="0" r="6350" b="0"/>
            <wp:docPr id="5" name="Picture 5" descr="C:\Users\jcarmiggelt\Documents\Ga-YIG\Paper\Figures\Figure2\spectrum\Fig2_V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carmiggelt\Documents\Ga-YIG\Paper\Figures\Figure2\spectrum\Fig2_V2-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ED2F" w14:textId="3A96F9CB" w:rsidR="008F7AAC" w:rsidRDefault="008F7AAC" w:rsidP="008F7AAC">
      <w:pPr>
        <w:pStyle w:val="Caption"/>
        <w:rPr>
          <w:lang w:val="en-GB"/>
        </w:rPr>
      </w:pPr>
      <w:commentRangeStart w:id="2"/>
      <w:r w:rsidRPr="008F7AAC">
        <w:rPr>
          <w:lang w:val="en-GB"/>
        </w:rPr>
        <w:t xml:space="preserve">Figure </w:t>
      </w:r>
      <w:r>
        <w:fldChar w:fldCharType="begin"/>
      </w:r>
      <w:r w:rsidRPr="008F7AAC">
        <w:rPr>
          <w:lang w:val="en-GB"/>
        </w:rPr>
        <w:instrText xml:space="preserve"> SEQ Figuur \* ARABIC </w:instrText>
      </w:r>
      <w:r>
        <w:fldChar w:fldCharType="separate"/>
      </w:r>
      <w:r w:rsidR="0081538D">
        <w:rPr>
          <w:noProof/>
          <w:lang w:val="en-GB"/>
        </w:rPr>
        <w:t>2</w:t>
      </w:r>
      <w:r>
        <w:fldChar w:fldCharType="end"/>
      </w:r>
      <w:r w:rsidR="00C41C81">
        <w:rPr>
          <w:lang w:val="en-GB"/>
        </w:rPr>
        <w:t xml:space="preserve"> Low-power m</w:t>
      </w:r>
      <w:r w:rsidRPr="008F7AAC">
        <w:rPr>
          <w:lang w:val="en-GB"/>
        </w:rPr>
        <w:t>icrowave spectro</w:t>
      </w:r>
      <w:r w:rsidR="00F76CD6">
        <w:rPr>
          <w:lang w:val="en-GB"/>
        </w:rPr>
        <w:t>scopy of</w:t>
      </w:r>
      <w:r>
        <w:rPr>
          <w:lang w:val="en-GB"/>
        </w:rPr>
        <w:t xml:space="preserve"> spin waves</w:t>
      </w:r>
      <w:r w:rsidR="00E047B1">
        <w:rPr>
          <w:lang w:val="en-GB"/>
        </w:rPr>
        <w:t xml:space="preserve"> in Ga:YIG</w:t>
      </w:r>
      <w:r>
        <w:rPr>
          <w:lang w:val="en-GB"/>
        </w:rPr>
        <w:t>. (</w:t>
      </w:r>
      <w:r w:rsidRPr="005254D4">
        <w:rPr>
          <w:b/>
          <w:lang w:val="en-GB"/>
        </w:rPr>
        <w:t>a</w:t>
      </w:r>
      <w:r>
        <w:rPr>
          <w:lang w:val="en-GB"/>
        </w:rPr>
        <w:t xml:space="preserve">) </w:t>
      </w:r>
      <w:r w:rsidR="00B403B9">
        <w:rPr>
          <w:lang w:val="en-GB"/>
        </w:rPr>
        <w:t>Optical micrograph of a</w:t>
      </w:r>
      <w:r w:rsidR="005254D4">
        <w:rPr>
          <w:lang w:val="en-GB"/>
        </w:rPr>
        <w:t xml:space="preserve"> measurement device</w:t>
      </w:r>
      <w:r w:rsidR="00B403B9">
        <w:rPr>
          <w:lang w:val="en-GB"/>
        </w:rPr>
        <w:t>. Two golden striplines</w:t>
      </w:r>
      <w:r w:rsidR="00775D80">
        <w:rPr>
          <w:lang w:val="en-GB"/>
        </w:rPr>
        <w:t xml:space="preserve"> </w:t>
      </w:r>
      <w:r w:rsidR="00536D39">
        <w:rPr>
          <w:lang w:val="en-GB"/>
        </w:rPr>
        <w:t xml:space="preserve">are </w:t>
      </w:r>
      <w:r w:rsidR="00775D80">
        <w:rPr>
          <w:lang w:val="en-GB"/>
        </w:rPr>
        <w:t xml:space="preserve">connected to a vector network analyser (VNA). Port </w:t>
      </w:r>
      <w:r w:rsidR="00536D39">
        <w:rPr>
          <w:lang w:val="en-GB"/>
        </w:rPr>
        <w:t>1 applies</w:t>
      </w:r>
      <w:r w:rsidR="00775D80">
        <w:rPr>
          <w:lang w:val="en-GB"/>
        </w:rPr>
        <w:t xml:space="preserve"> a microwave current </w:t>
      </w:r>
      <w:r w:rsidR="00C41C81">
        <w:rPr>
          <w:lang w:val="en-GB"/>
        </w:rPr>
        <w:t xml:space="preserve">(-35 dBm) </w:t>
      </w:r>
      <w:r w:rsidR="00775D80">
        <w:rPr>
          <w:lang w:val="en-GB"/>
        </w:rPr>
        <w:t xml:space="preserve">that </w:t>
      </w:r>
      <w:r w:rsidR="00775D80">
        <w:rPr>
          <w:lang w:val="en-GB"/>
        </w:rPr>
        <w:lastRenderedPageBreak/>
        <w:t>induces a</w:t>
      </w:r>
      <w:r w:rsidR="004F3D13">
        <w:rPr>
          <w:lang w:val="en-GB"/>
        </w:rPr>
        <w:t xml:space="preserve"> radio-frequency</w:t>
      </w:r>
      <w:r w:rsidR="00CE0280">
        <w:rPr>
          <w:lang w:val="en-GB"/>
        </w:rPr>
        <w:t xml:space="preserve"> </w:t>
      </w:r>
      <w:r w:rsidR="00B403B9">
        <w:rPr>
          <w:lang w:val="en-GB"/>
        </w:rPr>
        <w:t>magnetic field h</w:t>
      </w:r>
      <w:r w:rsidR="004F3D13">
        <w:rPr>
          <w:lang w:val="en-GB"/>
        </w:rPr>
        <w:t xml:space="preserve"> at the first stripline</w:t>
      </w:r>
      <w:r w:rsidR="00775D80">
        <w:rPr>
          <w:lang w:val="en-GB"/>
        </w:rPr>
        <w:t>. This field</w:t>
      </w:r>
      <w:r w:rsidR="00E047B1">
        <w:rPr>
          <w:lang w:val="en-GB"/>
        </w:rPr>
        <w:t xml:space="preserve"> </w:t>
      </w:r>
      <w:r w:rsidR="001F3C66">
        <w:rPr>
          <w:lang w:val="en-GB"/>
        </w:rPr>
        <w:t>excite</w:t>
      </w:r>
      <w:r w:rsidR="007E1BA6">
        <w:rPr>
          <w:lang w:val="en-GB"/>
        </w:rPr>
        <w:t xml:space="preserve">s </w:t>
      </w:r>
      <w:r w:rsidR="001F3C66">
        <w:rPr>
          <w:lang w:val="en-GB"/>
        </w:rPr>
        <w:t xml:space="preserve">propagating </w:t>
      </w:r>
      <w:r w:rsidR="007E1BA6">
        <w:rPr>
          <w:lang w:val="en-GB"/>
        </w:rPr>
        <w:t>spin waves</w:t>
      </w:r>
      <w:r w:rsidR="00E047B1">
        <w:rPr>
          <w:lang w:val="en-GB"/>
        </w:rPr>
        <w:t xml:space="preserve"> </w:t>
      </w:r>
      <w:r w:rsidR="001F3C66">
        <w:rPr>
          <w:lang w:val="en-GB"/>
        </w:rPr>
        <w:t>that</w:t>
      </w:r>
      <w:r w:rsidR="00480C3D">
        <w:rPr>
          <w:lang w:val="en-GB"/>
        </w:rPr>
        <w:t xml:space="preserve"> couple inductively</w:t>
      </w:r>
      <w:r w:rsidR="007E1BA6">
        <w:rPr>
          <w:lang w:val="en-GB"/>
        </w:rPr>
        <w:t xml:space="preserve"> </w:t>
      </w:r>
      <w:r w:rsidR="001F3C66">
        <w:rPr>
          <w:lang w:val="en-GB"/>
        </w:rPr>
        <w:t xml:space="preserve">to </w:t>
      </w:r>
      <w:r w:rsidR="007E1BA6">
        <w:rPr>
          <w:lang w:val="en-GB"/>
        </w:rPr>
        <w:t>the second stripline.</w:t>
      </w:r>
      <w:r w:rsidR="00536D39">
        <w:rPr>
          <w:lang w:val="en-GB"/>
        </w:rPr>
        <w:t xml:space="preserve"> The generated </w:t>
      </w:r>
      <w:r w:rsidR="001F3C66">
        <w:rPr>
          <w:lang w:val="en-GB"/>
        </w:rPr>
        <w:t>microwave current is a</w:t>
      </w:r>
      <w:r w:rsidR="00536D39">
        <w:rPr>
          <w:lang w:val="en-GB"/>
        </w:rPr>
        <w:t>mplified and detected at port 2</w:t>
      </w:r>
      <w:r w:rsidR="001F3C66">
        <w:rPr>
          <w:lang w:val="en-GB"/>
        </w:rPr>
        <w:t>.</w:t>
      </w:r>
      <w:r w:rsidR="007E1BA6">
        <w:rPr>
          <w:lang w:val="en-GB"/>
        </w:rPr>
        <w:t xml:space="preserve"> </w:t>
      </w:r>
      <w:r w:rsidR="008B71C2">
        <w:rPr>
          <w:lang w:val="en-GB"/>
        </w:rPr>
        <w:t>A static</w:t>
      </w:r>
      <w:r w:rsidR="00CE0280">
        <w:rPr>
          <w:lang w:val="en-GB"/>
        </w:rPr>
        <w:t xml:space="preserve"> magnetic field B_0 is applied in the Damon-Eshbach configuration. </w:t>
      </w:r>
      <w:r w:rsidR="00480C3D">
        <w:rPr>
          <w:lang w:val="en-GB"/>
        </w:rPr>
        <w:t>(</w:t>
      </w:r>
      <w:r w:rsidR="00480C3D" w:rsidRPr="00435457">
        <w:rPr>
          <w:b/>
          <w:lang w:val="en-GB"/>
        </w:rPr>
        <w:t>b</w:t>
      </w:r>
      <w:r w:rsidR="00480C3D">
        <w:rPr>
          <w:lang w:val="en-GB"/>
        </w:rPr>
        <w:t xml:space="preserve">) </w:t>
      </w:r>
      <w:r w:rsidR="00E047B1">
        <w:rPr>
          <w:lang w:val="en-GB"/>
        </w:rPr>
        <w:t xml:space="preserve">The </w:t>
      </w:r>
      <w:r w:rsidR="001F3C66">
        <w:rPr>
          <w:lang w:val="en-GB"/>
        </w:rPr>
        <w:t xml:space="preserve">striplines excite and detect spin waves of wavevector k with an </w:t>
      </w:r>
      <w:r w:rsidR="00E047B1">
        <w:rPr>
          <w:lang w:val="en-GB"/>
        </w:rPr>
        <w:t>effi</w:t>
      </w:r>
      <w:r w:rsidR="001F3C66">
        <w:rPr>
          <w:lang w:val="en-GB"/>
        </w:rPr>
        <w:t xml:space="preserve">ciency that </w:t>
      </w:r>
      <w:r w:rsidR="00480C3D">
        <w:rPr>
          <w:lang w:val="en-GB"/>
        </w:rPr>
        <w:t>scales with the</w:t>
      </w:r>
      <w:r w:rsidR="00435457">
        <w:rPr>
          <w:lang w:val="en-GB"/>
        </w:rPr>
        <w:t xml:space="preserve"> Fourier ampl</w:t>
      </w:r>
      <w:r w:rsidR="001F3C66">
        <w:rPr>
          <w:lang w:val="en-GB"/>
        </w:rPr>
        <w:t xml:space="preserve">itude </w:t>
      </w:r>
      <w:r w:rsidR="00005ADA">
        <w:rPr>
          <w:lang w:val="en-GB"/>
        </w:rPr>
        <w:t>of h</w:t>
      </w:r>
      <w:r w:rsidR="00435457">
        <w:rPr>
          <w:lang w:val="en-GB"/>
        </w:rPr>
        <w:t>. The</w:t>
      </w:r>
      <w:r w:rsidR="00B525C9">
        <w:rPr>
          <w:lang w:val="en-GB"/>
        </w:rPr>
        <w:t xml:space="preserve"> absolute value of the</w:t>
      </w:r>
      <w:r w:rsidR="00005ADA">
        <w:rPr>
          <w:lang w:val="en-GB"/>
        </w:rPr>
        <w:t xml:space="preserve"> Fourier spectra</w:t>
      </w:r>
      <w:r w:rsidR="00B403B9">
        <w:rPr>
          <w:lang w:val="en-GB"/>
        </w:rPr>
        <w:t xml:space="preserve"> of the x and z</w:t>
      </w:r>
      <w:r w:rsidR="00005ADA">
        <w:rPr>
          <w:lang w:val="en-GB"/>
        </w:rPr>
        <w:t xml:space="preserve"> components of h are shown for striplines with a width w=1 um and w=2.5 um. The </w:t>
      </w:r>
      <w:r w:rsidR="00435457">
        <w:rPr>
          <w:lang w:val="en-GB"/>
        </w:rPr>
        <w:t>dashed line</w:t>
      </w:r>
      <w:r w:rsidR="00005ADA">
        <w:rPr>
          <w:lang w:val="en-GB"/>
        </w:rPr>
        <w:t>s indicate</w:t>
      </w:r>
      <w:r w:rsidR="00435457">
        <w:rPr>
          <w:lang w:val="en-GB"/>
        </w:rPr>
        <w:t xml:space="preserve"> node</w:t>
      </w:r>
      <w:r w:rsidR="00005ADA">
        <w:rPr>
          <w:lang w:val="en-GB"/>
        </w:rPr>
        <w:t>s</w:t>
      </w:r>
      <w:r w:rsidR="00435457">
        <w:rPr>
          <w:lang w:val="en-GB"/>
        </w:rPr>
        <w:t xml:space="preserve"> </w:t>
      </w:r>
      <w:r w:rsidR="00B525C9">
        <w:rPr>
          <w:lang w:val="en-GB"/>
        </w:rPr>
        <w:t>in</w:t>
      </w:r>
      <w:r w:rsidR="00435457">
        <w:rPr>
          <w:lang w:val="en-GB"/>
        </w:rPr>
        <w:t xml:space="preserve"> the</w:t>
      </w:r>
      <w:r w:rsidR="00537270">
        <w:rPr>
          <w:lang w:val="en-GB"/>
        </w:rPr>
        <w:t xml:space="preserve"> Fourier</w:t>
      </w:r>
      <w:r w:rsidR="00005ADA">
        <w:rPr>
          <w:lang w:val="en-GB"/>
        </w:rPr>
        <w:t xml:space="preserve"> spectra</w:t>
      </w:r>
      <w:r w:rsidR="00435457">
        <w:rPr>
          <w:lang w:val="en-GB"/>
        </w:rPr>
        <w:t>. (</w:t>
      </w:r>
      <w:r w:rsidR="00435457" w:rsidRPr="00435457">
        <w:rPr>
          <w:b/>
          <w:lang w:val="en-GB"/>
        </w:rPr>
        <w:t>c</w:t>
      </w:r>
      <w:r w:rsidR="00435457">
        <w:rPr>
          <w:lang w:val="en-GB"/>
        </w:rPr>
        <w:t>)</w:t>
      </w:r>
      <w:r w:rsidR="00FD424F">
        <w:rPr>
          <w:lang w:val="en-GB"/>
        </w:rPr>
        <w:t xml:space="preserve"> Field-derivative of</w:t>
      </w:r>
      <w:r w:rsidR="00435457">
        <w:rPr>
          <w:lang w:val="en-GB"/>
        </w:rPr>
        <w:t xml:space="preserve"> </w:t>
      </w:r>
      <w:r w:rsidR="006A466D">
        <w:rPr>
          <w:lang w:val="en-GB"/>
        </w:rPr>
        <w:t>the microwave transmission |S12|</w:t>
      </w:r>
      <w:r w:rsidR="00C50BD5">
        <w:rPr>
          <w:lang w:val="en-GB"/>
        </w:rPr>
        <w:t xml:space="preserve"> between two 1-um-width</w:t>
      </w:r>
      <w:r w:rsidR="00536D39">
        <w:rPr>
          <w:lang w:val="en-GB"/>
        </w:rPr>
        <w:t xml:space="preserve"> striplines</w:t>
      </w:r>
      <w:r w:rsidR="00273451" w:rsidRPr="00273451">
        <w:rPr>
          <w:lang w:val="en-GB"/>
        </w:rPr>
        <w:t xml:space="preserve"> </w:t>
      </w:r>
      <w:r w:rsidR="00273451">
        <w:rPr>
          <w:lang w:val="en-GB"/>
        </w:rPr>
        <w:t xml:space="preserve">as a function of B_0 and </w:t>
      </w:r>
      <w:r w:rsidR="000E37CC">
        <w:rPr>
          <w:lang w:val="en-GB"/>
        </w:rPr>
        <w:t xml:space="preserve">microwave </w:t>
      </w:r>
      <w:r w:rsidR="00273451">
        <w:rPr>
          <w:lang w:val="en-GB"/>
        </w:rPr>
        <w:t>frequency.</w:t>
      </w:r>
      <w:r w:rsidR="000E37CC">
        <w:rPr>
          <w:lang w:val="en-GB"/>
        </w:rPr>
        <w:t xml:space="preserve"> The fringes result from th</w:t>
      </w:r>
      <w:r w:rsidR="00B525C9">
        <w:rPr>
          <w:lang w:val="en-GB"/>
        </w:rPr>
        <w:t>e interference between the spin-</w:t>
      </w:r>
      <w:r w:rsidR="000E37CC">
        <w:rPr>
          <w:lang w:val="en-GB"/>
        </w:rPr>
        <w:t>wave and direct magnetic field</w:t>
      </w:r>
      <w:r w:rsidR="00537270">
        <w:rPr>
          <w:lang w:val="en-GB"/>
        </w:rPr>
        <w:t xml:space="preserve"> at the</w:t>
      </w:r>
      <w:r w:rsidR="00F1741F">
        <w:rPr>
          <w:lang w:val="en-GB"/>
        </w:rPr>
        <w:t xml:space="preserve"> position of the</w:t>
      </w:r>
      <w:r w:rsidR="00537270">
        <w:rPr>
          <w:lang w:val="en-GB"/>
        </w:rPr>
        <w:t xml:space="preserve"> second stripline. </w:t>
      </w:r>
      <w:r w:rsidR="00C50BD5">
        <w:rPr>
          <w:lang w:val="en-GB"/>
        </w:rPr>
        <w:t>The colormap of the inset is squeezed, such that</w:t>
      </w:r>
      <w:r w:rsidR="001506B9">
        <w:rPr>
          <w:lang w:val="en-GB"/>
        </w:rPr>
        <w:t xml:space="preserve"> low-amplitude</w:t>
      </w:r>
      <w:r w:rsidR="00537270">
        <w:rPr>
          <w:lang w:val="en-GB"/>
        </w:rPr>
        <w:t xml:space="preserve"> fringes</w:t>
      </w:r>
      <w:r w:rsidR="003320CD">
        <w:rPr>
          <w:lang w:val="en-GB"/>
        </w:rPr>
        <w:t xml:space="preserve"> </w:t>
      </w:r>
      <w:r w:rsidR="00F7387B">
        <w:rPr>
          <w:lang w:val="en-GB"/>
        </w:rPr>
        <w:t>of spin waves</w:t>
      </w:r>
      <w:r w:rsidR="00C50BD5">
        <w:rPr>
          <w:lang w:val="en-GB"/>
        </w:rPr>
        <w:t xml:space="preserve"> are visible</w:t>
      </w:r>
      <w:r w:rsidR="00F7387B">
        <w:rPr>
          <w:lang w:val="en-GB"/>
        </w:rPr>
        <w:t xml:space="preserve"> with wavevectors larger than </w:t>
      </w:r>
      <w:r w:rsidR="001506B9">
        <w:rPr>
          <w:lang w:val="en-GB"/>
        </w:rPr>
        <w:t>the first</w:t>
      </w:r>
      <w:r w:rsidR="00C50BD5">
        <w:rPr>
          <w:lang w:val="en-GB"/>
        </w:rPr>
        <w:t xml:space="preserve"> Fourier node of h, which is </w:t>
      </w:r>
      <w:r w:rsidR="001506B9">
        <w:rPr>
          <w:lang w:val="en-GB"/>
        </w:rPr>
        <w:t>indicated by the dashed line.</w:t>
      </w:r>
      <w:commentRangeEnd w:id="2"/>
      <w:r w:rsidR="00B403B9">
        <w:rPr>
          <w:rStyle w:val="CommentReference"/>
          <w:i w:val="0"/>
          <w:iCs w:val="0"/>
          <w:color w:val="auto"/>
        </w:rPr>
        <w:commentReference w:id="2"/>
      </w:r>
      <w:r w:rsidR="001506B9">
        <w:rPr>
          <w:lang w:val="en-GB"/>
        </w:rPr>
        <w:t xml:space="preserve"> </w:t>
      </w:r>
    </w:p>
    <w:p w14:paraId="7F0557DE" w14:textId="019EF51D" w:rsidR="00CE0280" w:rsidRDefault="005C472A" w:rsidP="00CE0280">
      <w:pPr>
        <w:keepNext/>
      </w:pPr>
      <w:r w:rsidRPr="005C472A">
        <w:rPr>
          <w:noProof/>
          <w:lang w:eastAsia="nl-NL"/>
        </w:rPr>
        <w:drawing>
          <wp:inline distT="0" distB="0" distL="0" distR="0" wp14:anchorId="5C03B290" wp14:editId="0445B78B">
            <wp:extent cx="3060700" cy="3060700"/>
            <wp:effectExtent l="0" t="0" r="6350" b="6350"/>
            <wp:docPr id="7" name="Picture 7" descr="C:\Users\jcarmiggelt\Documents\Ga-YIG\Paper\Figures\Figure3\Fig3_V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carmiggelt\Documents\Ga-YIG\Paper\Figures\Figure3\Fig3_V2-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79E13" w14:textId="16C274BE" w:rsidR="00CE0280" w:rsidRDefault="00CE0280" w:rsidP="00CE0280">
      <w:pPr>
        <w:pStyle w:val="Caption"/>
        <w:rPr>
          <w:lang w:val="en-GB"/>
        </w:rPr>
      </w:pPr>
      <w:commentRangeStart w:id="3"/>
      <w:r w:rsidRPr="006F219A">
        <w:rPr>
          <w:lang w:val="en-GB"/>
        </w:rPr>
        <w:t xml:space="preserve">Figure </w:t>
      </w:r>
      <w:r>
        <w:fldChar w:fldCharType="begin"/>
      </w:r>
      <w:r w:rsidRPr="006F219A">
        <w:rPr>
          <w:lang w:val="en-GB"/>
        </w:rPr>
        <w:instrText xml:space="preserve"> SEQ Figuur \* ARABIC </w:instrText>
      </w:r>
      <w:r>
        <w:fldChar w:fldCharType="separate"/>
      </w:r>
      <w:r w:rsidR="0081538D">
        <w:rPr>
          <w:noProof/>
          <w:lang w:val="en-GB"/>
        </w:rPr>
        <w:t>3</w:t>
      </w:r>
      <w:r>
        <w:fldChar w:fldCharType="end"/>
      </w:r>
      <w:r w:rsidRPr="006F219A">
        <w:rPr>
          <w:lang w:val="en-GB"/>
        </w:rPr>
        <w:t xml:space="preserve"> Extract</w:t>
      </w:r>
      <w:r w:rsidR="00E20D6C">
        <w:rPr>
          <w:lang w:val="en-GB"/>
        </w:rPr>
        <w:t>ing the spin stiffness</w:t>
      </w:r>
      <w:r w:rsidR="00827778">
        <w:rPr>
          <w:lang w:val="en-GB"/>
        </w:rPr>
        <w:t xml:space="preserve"> </w:t>
      </w:r>
      <w:r w:rsidR="00296F89">
        <w:rPr>
          <w:lang w:val="en-GB"/>
        </w:rPr>
        <w:t>from spin-wave transmission spectra</w:t>
      </w:r>
      <w:r w:rsidR="006F219A">
        <w:rPr>
          <w:lang w:val="en-GB"/>
        </w:rPr>
        <w:t>. (</w:t>
      </w:r>
      <w:r w:rsidR="006F219A" w:rsidRPr="006F219A">
        <w:rPr>
          <w:b/>
          <w:lang w:val="en-GB"/>
        </w:rPr>
        <w:t>a</w:t>
      </w:r>
      <w:r w:rsidR="006F219A">
        <w:rPr>
          <w:lang w:val="en-GB"/>
        </w:rPr>
        <w:t>) Background-substracted linetrace</w:t>
      </w:r>
      <w:r w:rsidR="00296F89">
        <w:rPr>
          <w:lang w:val="en-GB"/>
        </w:rPr>
        <w:t>s of |S_12| for two sets of striplines (upper: w=1 um, s=6 um, lower:</w:t>
      </w:r>
      <w:r w:rsidR="007606FE" w:rsidRPr="007606FE">
        <w:rPr>
          <w:lang w:val="en-GB"/>
        </w:rPr>
        <w:t xml:space="preserve"> </w:t>
      </w:r>
      <w:r w:rsidR="007606FE">
        <w:rPr>
          <w:lang w:val="en-GB"/>
        </w:rPr>
        <w:t>w=2.5 um, s=12.5</w:t>
      </w:r>
      <w:r w:rsidR="007606FE">
        <w:rPr>
          <w:lang w:val="en-GB"/>
        </w:rPr>
        <w:t xml:space="preserve"> um</w:t>
      </w:r>
      <w:r w:rsidR="00C41C81">
        <w:rPr>
          <w:lang w:val="en-GB"/>
        </w:rPr>
        <w:t>, excitation power -35 dBm</w:t>
      </w:r>
      <w:r w:rsidR="007606FE">
        <w:rPr>
          <w:lang w:val="en-GB"/>
        </w:rPr>
        <w:t>)</w:t>
      </w:r>
      <w:r w:rsidR="00827778">
        <w:rPr>
          <w:lang w:val="en-GB"/>
        </w:rPr>
        <w:t>. The red circles</w:t>
      </w:r>
      <w:r w:rsidR="007606FE">
        <w:rPr>
          <w:lang w:val="en-GB"/>
        </w:rPr>
        <w:t xml:space="preserve"> and green squares in the lower inset</w:t>
      </w:r>
      <w:r w:rsidR="00827778">
        <w:rPr>
          <w:lang w:val="en-GB"/>
        </w:rPr>
        <w:t xml:space="preserve"> mark the extrema</w:t>
      </w:r>
      <w:r w:rsidR="006F219A">
        <w:rPr>
          <w:lang w:val="en-GB"/>
        </w:rPr>
        <w:t xml:space="preserve"> of the spin wave-fringes. (</w:t>
      </w:r>
      <w:r w:rsidR="006F219A" w:rsidRPr="006F219A">
        <w:rPr>
          <w:b/>
          <w:lang w:val="en-GB"/>
        </w:rPr>
        <w:t>b</w:t>
      </w:r>
      <w:r w:rsidR="003329C4">
        <w:rPr>
          <w:lang w:val="en-GB"/>
        </w:rPr>
        <w:t>) From these extrema we determine the group velocity vg</w:t>
      </w:r>
      <w:r w:rsidR="00827778">
        <w:rPr>
          <w:lang w:val="en-GB"/>
        </w:rPr>
        <w:t xml:space="preserve"> </w:t>
      </w:r>
      <w:r w:rsidR="003329C4">
        <w:rPr>
          <w:lang w:val="en-GB"/>
        </w:rPr>
        <w:t xml:space="preserve">of </w:t>
      </w:r>
      <w:r w:rsidR="00827778">
        <w:rPr>
          <w:lang w:val="en-GB"/>
        </w:rPr>
        <w:t>the s</w:t>
      </w:r>
      <w:r w:rsidR="006F219A">
        <w:rPr>
          <w:lang w:val="en-GB"/>
        </w:rPr>
        <w:t>pin w</w:t>
      </w:r>
      <w:r w:rsidR="00594042">
        <w:rPr>
          <w:lang w:val="en-GB"/>
        </w:rPr>
        <w:t>ave</w:t>
      </w:r>
      <w:r w:rsidR="003329C4">
        <w:rPr>
          <w:lang w:val="en-GB"/>
        </w:rPr>
        <w:t xml:space="preserve">s. The blue line </w:t>
      </w:r>
      <w:r w:rsidR="00D121DF">
        <w:rPr>
          <w:lang w:val="en-GB"/>
        </w:rPr>
        <w:t>fits the datapoints with an expression for v_g</w:t>
      </w:r>
      <w:r w:rsidR="003329C4">
        <w:rPr>
          <w:lang w:val="en-GB"/>
        </w:rPr>
        <w:t xml:space="preserve"> derived from the</w:t>
      </w:r>
      <w:r w:rsidR="00D121DF">
        <w:rPr>
          <w:lang w:val="en-GB"/>
        </w:rPr>
        <w:t xml:space="preserve"> analytical</w:t>
      </w:r>
      <w:r w:rsidR="003329C4">
        <w:rPr>
          <w:lang w:val="en-GB"/>
        </w:rPr>
        <w:t xml:space="preserve"> </w:t>
      </w:r>
      <w:r w:rsidR="00B525C9">
        <w:rPr>
          <w:lang w:val="en-GB"/>
        </w:rPr>
        <w:t xml:space="preserve">spin-wave </w:t>
      </w:r>
      <w:r w:rsidR="003329C4">
        <w:rPr>
          <w:lang w:val="en-GB"/>
        </w:rPr>
        <w:t>dispersion</w:t>
      </w:r>
      <w:r w:rsidR="00D121DF">
        <w:rPr>
          <w:lang w:val="en-GB"/>
        </w:rPr>
        <w:t xml:space="preserve"> </w:t>
      </w:r>
      <w:r w:rsidR="00D121DF">
        <w:rPr>
          <w:lang w:val="en-GB"/>
        </w:rPr>
        <w:t>(see main text)</w:t>
      </w:r>
      <w:r w:rsidR="003329C4">
        <w:rPr>
          <w:lang w:val="en-GB"/>
        </w:rPr>
        <w:t>.</w:t>
      </w:r>
      <w:r w:rsidR="00D121DF">
        <w:rPr>
          <w:lang w:val="en-GB"/>
        </w:rPr>
        <w:t xml:space="preserve"> From the fit we extract B0=1160G and D=3.3(3)D_YIG. </w:t>
      </w:r>
      <w:r w:rsidR="00D121DF">
        <w:rPr>
          <w:lang w:val="en-GB"/>
        </w:rPr>
        <w:t>(</w:t>
      </w:r>
      <w:r w:rsidR="00D121DF">
        <w:rPr>
          <w:b/>
          <w:lang w:val="en-GB"/>
        </w:rPr>
        <w:t>c</w:t>
      </w:r>
      <w:r w:rsidR="00D121DF">
        <w:rPr>
          <w:lang w:val="en-GB"/>
        </w:rPr>
        <w:t xml:space="preserve">) </w:t>
      </w:r>
      <w:r w:rsidR="00D121DF">
        <w:rPr>
          <w:lang w:val="en-GB"/>
        </w:rPr>
        <w:t xml:space="preserve">Reconstructed </w:t>
      </w:r>
      <w:r w:rsidR="00B525C9">
        <w:rPr>
          <w:lang w:val="en-GB"/>
        </w:rPr>
        <w:t xml:space="preserve">spin-wave </w:t>
      </w:r>
      <w:r w:rsidR="00D121DF">
        <w:rPr>
          <w:lang w:val="en-GB"/>
        </w:rPr>
        <w:t>dispersion based on the fit in (</w:t>
      </w:r>
      <w:r w:rsidR="00D121DF" w:rsidRPr="00D121DF">
        <w:rPr>
          <w:b/>
          <w:lang w:val="en-GB"/>
        </w:rPr>
        <w:t>b</w:t>
      </w:r>
      <w:r w:rsidR="00D121DF">
        <w:rPr>
          <w:lang w:val="en-GB"/>
        </w:rPr>
        <w:t>)</w:t>
      </w:r>
      <w:r w:rsidR="00594042">
        <w:rPr>
          <w:lang w:val="en-GB"/>
        </w:rPr>
        <w:t xml:space="preserve">. </w:t>
      </w:r>
      <w:r w:rsidR="00451F6C">
        <w:rPr>
          <w:lang w:val="en-GB"/>
        </w:rPr>
        <w:t>The</w:t>
      </w:r>
      <w:r w:rsidR="00D121DF">
        <w:rPr>
          <w:lang w:val="en-GB"/>
        </w:rPr>
        <w:t xml:space="preserve"> datapoints correspond to the frequencies of the extrema in (</w:t>
      </w:r>
      <w:r w:rsidR="00D121DF" w:rsidRPr="00D121DF">
        <w:rPr>
          <w:b/>
          <w:lang w:val="en-GB"/>
        </w:rPr>
        <w:t>a</w:t>
      </w:r>
      <w:r w:rsidR="00D121DF">
        <w:rPr>
          <w:lang w:val="en-GB"/>
        </w:rPr>
        <w:t>). The dashed lines indicate the nodes in the Fourier spectra of the excitation fields of striplines</w:t>
      </w:r>
      <w:r w:rsidR="00B525C9">
        <w:rPr>
          <w:lang w:val="en-GB"/>
        </w:rPr>
        <w:t xml:space="preserve"> (</w:t>
      </w:r>
      <w:r w:rsidR="00D121DF">
        <w:rPr>
          <w:lang w:val="en-GB"/>
        </w:rPr>
        <w:t>see figure 2b). We conclude that</w:t>
      </w:r>
      <w:r w:rsidR="00101313">
        <w:rPr>
          <w:lang w:val="en-GB"/>
        </w:rPr>
        <w:t xml:space="preserve"> the red dots and green squares correspond to spin waves</w:t>
      </w:r>
      <w:r w:rsidR="00B525C9">
        <w:rPr>
          <w:lang w:val="en-GB"/>
        </w:rPr>
        <w:t xml:space="preserve"> with wavevectors</w:t>
      </w:r>
      <w:r w:rsidR="00101313">
        <w:rPr>
          <w:lang w:val="en-GB"/>
        </w:rPr>
        <w:t xml:space="preserve"> in respectively the first and</w:t>
      </w:r>
      <w:r w:rsidR="00451F6C">
        <w:rPr>
          <w:lang w:val="en-GB"/>
        </w:rPr>
        <w:t xml:space="preserve"> </w:t>
      </w:r>
      <w:r w:rsidR="00101313">
        <w:rPr>
          <w:lang w:val="en-GB"/>
        </w:rPr>
        <w:t xml:space="preserve">second maximum of the stripline-field Fourier spectrum. We attribute the dip in transmission in the lower panel of </w:t>
      </w:r>
      <w:r w:rsidR="00101313">
        <w:rPr>
          <w:lang w:val="en-GB"/>
        </w:rPr>
        <w:t>(</w:t>
      </w:r>
      <w:r w:rsidR="00101313" w:rsidRPr="00D121DF">
        <w:rPr>
          <w:b/>
          <w:lang w:val="en-GB"/>
        </w:rPr>
        <w:t>a</w:t>
      </w:r>
      <w:r w:rsidR="00101313">
        <w:rPr>
          <w:lang w:val="en-GB"/>
        </w:rPr>
        <w:t>)</w:t>
      </w:r>
      <w:r w:rsidR="00101313">
        <w:rPr>
          <w:lang w:val="en-GB"/>
        </w:rPr>
        <w:t xml:space="preserve">, indicated by the arrow, to spin waves in the first Fourier maximum. </w:t>
      </w:r>
      <w:commentRangeEnd w:id="3"/>
      <w:r w:rsidR="00E47EA3">
        <w:rPr>
          <w:rStyle w:val="CommentReference"/>
          <w:i w:val="0"/>
          <w:iCs w:val="0"/>
          <w:color w:val="auto"/>
        </w:rPr>
        <w:commentReference w:id="3"/>
      </w:r>
    </w:p>
    <w:p w14:paraId="52F10183" w14:textId="77777777" w:rsidR="00451F6C" w:rsidRPr="00451F6C" w:rsidRDefault="00451F6C" w:rsidP="00451F6C">
      <w:pPr>
        <w:rPr>
          <w:lang w:val="en-GB"/>
        </w:rPr>
      </w:pPr>
    </w:p>
    <w:p w14:paraId="76E3B9E0" w14:textId="77777777" w:rsidR="0081538D" w:rsidRDefault="0081538D" w:rsidP="0081538D">
      <w:pPr>
        <w:keepNext/>
      </w:pPr>
      <w:r>
        <w:rPr>
          <w:noProof/>
          <w:lang w:eastAsia="nl-NL"/>
        </w:rPr>
        <w:lastRenderedPageBreak/>
        <w:drawing>
          <wp:inline distT="0" distB="0" distL="0" distR="0" wp14:anchorId="44EA584F" wp14:editId="0F5D95EA">
            <wp:extent cx="3060133" cy="3060133"/>
            <wp:effectExtent l="0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-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133" cy="306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20F89488" w14:textId="490EC792" w:rsidR="001F3C66" w:rsidRPr="001F3C66" w:rsidRDefault="0081538D" w:rsidP="0081538D">
      <w:pPr>
        <w:pStyle w:val="Caption"/>
        <w:rPr>
          <w:lang w:val="en-GB"/>
        </w:rPr>
      </w:pPr>
      <w:r w:rsidRPr="0081538D">
        <w:rPr>
          <w:lang w:val="en-GB"/>
        </w:rPr>
        <w:t xml:space="preserve">Figure </w:t>
      </w:r>
      <w:r>
        <w:fldChar w:fldCharType="begin"/>
      </w:r>
      <w:r w:rsidRPr="0081538D">
        <w:rPr>
          <w:lang w:val="en-GB"/>
        </w:rPr>
        <w:instrText xml:space="preserve"> SEQ Figuur \* ARABIC </w:instrText>
      </w:r>
      <w:r>
        <w:fldChar w:fldCharType="separate"/>
      </w:r>
      <w:r w:rsidRPr="0081538D">
        <w:rPr>
          <w:noProof/>
          <w:lang w:val="en-GB"/>
        </w:rPr>
        <w:t>4</w:t>
      </w:r>
      <w:r>
        <w:fldChar w:fldCharType="end"/>
      </w:r>
      <w:r>
        <w:rPr>
          <w:lang w:val="en-GB"/>
        </w:rPr>
        <w:t xml:space="preserve"> Observation of</w:t>
      </w:r>
      <w:r w:rsidRPr="0081538D">
        <w:rPr>
          <w:lang w:val="en-GB"/>
        </w:rPr>
        <w:t xml:space="preserve"> </w:t>
      </w:r>
      <w:r w:rsidR="00C41C81">
        <w:rPr>
          <w:lang w:val="en-GB"/>
        </w:rPr>
        <w:t>spin-</w:t>
      </w:r>
      <w:r>
        <w:rPr>
          <w:lang w:val="en-GB"/>
        </w:rPr>
        <w:t>wave</w:t>
      </w:r>
      <w:r w:rsidR="00C41C81">
        <w:rPr>
          <w:lang w:val="en-GB"/>
        </w:rPr>
        <w:t xml:space="preserve"> frequency shifts and</w:t>
      </w:r>
      <w:r>
        <w:rPr>
          <w:lang w:val="en-GB"/>
        </w:rPr>
        <w:t xml:space="preserve"> </w:t>
      </w:r>
      <w:r w:rsidRPr="0081538D">
        <w:rPr>
          <w:lang w:val="en-GB"/>
        </w:rPr>
        <w:t>foldover</w:t>
      </w:r>
      <w:r>
        <w:rPr>
          <w:lang w:val="en-GB"/>
        </w:rPr>
        <w:t xml:space="preserve">. </w:t>
      </w:r>
      <w:r w:rsidR="00E47EA3">
        <w:rPr>
          <w:lang w:val="en-GB"/>
        </w:rPr>
        <w:t>The spin-</w:t>
      </w:r>
      <w:r w:rsidR="005C1A90">
        <w:rPr>
          <w:lang w:val="en-GB"/>
        </w:rPr>
        <w:t>wave fringes</w:t>
      </w:r>
      <w:r w:rsidR="00F44E8C" w:rsidRPr="00F44E8C">
        <w:rPr>
          <w:lang w:val="en-GB"/>
        </w:rPr>
        <w:t xml:space="preserve"> </w:t>
      </w:r>
      <w:r w:rsidR="00F44E8C">
        <w:rPr>
          <w:lang w:val="en-GB"/>
        </w:rPr>
        <w:t xml:space="preserve">in the background-substracted |S_12| are measured as function of </w:t>
      </w:r>
      <w:r w:rsidR="00D44591">
        <w:rPr>
          <w:lang w:val="en-GB"/>
        </w:rPr>
        <w:t>microwave excitation power</w:t>
      </w:r>
      <w:r w:rsidR="00530153">
        <w:rPr>
          <w:lang w:val="en-GB"/>
        </w:rPr>
        <w:t xml:space="preserve"> for upward (left) and downward frequency sweeps</w:t>
      </w:r>
      <w:r w:rsidR="00530153" w:rsidRPr="0081538D">
        <w:rPr>
          <w:lang w:val="en-GB"/>
        </w:rPr>
        <w:t xml:space="preserve"> </w:t>
      </w:r>
      <w:r w:rsidR="00530153">
        <w:rPr>
          <w:lang w:val="en-GB"/>
        </w:rPr>
        <w:t>(right)</w:t>
      </w:r>
      <w:r w:rsidR="00C41C81">
        <w:rPr>
          <w:lang w:val="en-GB"/>
        </w:rPr>
        <w:t xml:space="preserve"> at B_0=116</w:t>
      </w:r>
      <w:r w:rsidR="00801AEF">
        <w:rPr>
          <w:lang w:val="en-GB"/>
        </w:rPr>
        <w:t>0 G</w:t>
      </w:r>
      <w:r w:rsidR="00B65A9D">
        <w:rPr>
          <w:lang w:val="en-GB"/>
        </w:rPr>
        <w:t xml:space="preserve"> (</w:t>
      </w:r>
      <w:r w:rsidR="00B65A9D">
        <w:rPr>
          <w:lang w:val="en-GB"/>
        </w:rPr>
        <w:t>w=1 um, s=6 um</w:t>
      </w:r>
      <w:r w:rsidR="00B65A9D">
        <w:rPr>
          <w:lang w:val="en-GB"/>
        </w:rPr>
        <w:t>)</w:t>
      </w:r>
      <w:r w:rsidR="00530153">
        <w:rPr>
          <w:lang w:val="en-GB"/>
        </w:rPr>
        <w:t xml:space="preserve">. </w:t>
      </w:r>
      <w:r w:rsidR="00F44E8C">
        <w:rPr>
          <w:lang w:val="en-GB"/>
        </w:rPr>
        <w:t xml:space="preserve">Spin waves with a low wavevector shift to higher frequencies when the driving power is increased. </w:t>
      </w:r>
      <w:r w:rsidR="008E21EA">
        <w:rPr>
          <w:lang w:val="en-GB"/>
        </w:rPr>
        <w:t>A sharp boundary marks the frequency at which the systems falls back to the low-power dispersion.</w:t>
      </w:r>
      <w:r w:rsidR="00533573">
        <w:rPr>
          <w:lang w:val="en-GB"/>
        </w:rPr>
        <w:t xml:space="preserve"> </w:t>
      </w:r>
      <w:r w:rsidR="00707C6C">
        <w:rPr>
          <w:lang w:val="en-GB"/>
        </w:rPr>
        <w:t>Depending on the sweep direction the boundary is at lower or higher frequencies, dem</w:t>
      </w:r>
      <w:r w:rsidR="00F36C63">
        <w:rPr>
          <w:lang w:val="en-GB"/>
        </w:rPr>
        <w:t xml:space="preserve">onstrating </w:t>
      </w:r>
      <w:r w:rsidR="00E47EA3">
        <w:rPr>
          <w:lang w:val="en-GB"/>
        </w:rPr>
        <w:t>the foldover of spin-</w:t>
      </w:r>
      <w:r w:rsidR="00F36C63">
        <w:rPr>
          <w:lang w:val="en-GB"/>
        </w:rPr>
        <w:t xml:space="preserve">wave modes. </w:t>
      </w:r>
      <w:r w:rsidR="00F36C63">
        <w:rPr>
          <w:lang w:val="en-GB"/>
        </w:rPr>
        <w:br/>
      </w:r>
    </w:p>
    <w:p w14:paraId="7F9A4C5A" w14:textId="77777777" w:rsidR="00435457" w:rsidRPr="00435457" w:rsidRDefault="00435457" w:rsidP="00435457">
      <w:pPr>
        <w:rPr>
          <w:lang w:val="en-GB"/>
        </w:rPr>
      </w:pPr>
    </w:p>
    <w:p w14:paraId="52A8D0F8" w14:textId="0B32A765" w:rsidR="00A937C1" w:rsidRPr="00435457" w:rsidRDefault="00A937C1" w:rsidP="00435457">
      <w:pPr>
        <w:rPr>
          <w:lang w:val="en-GB"/>
        </w:rPr>
      </w:pPr>
    </w:p>
    <w:sectPr w:rsidR="00A937C1" w:rsidRPr="004354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Joris Carmiggelt - TNW" w:date="2021-04-22T10:44:00Z" w:initials="JC-T">
    <w:p w14:paraId="57E84472" w14:textId="55C35B72" w:rsidR="00B403B9" w:rsidRPr="00AA3918" w:rsidRDefault="00B403B9" w:rsidP="00B403B9">
      <w:pPr>
        <w:pStyle w:val="NoSpacing"/>
        <w:rPr>
          <w:b/>
          <w:lang w:val="en-GB"/>
        </w:rPr>
      </w:pPr>
      <w:r>
        <w:rPr>
          <w:rStyle w:val="CommentReference"/>
        </w:rPr>
        <w:annotationRef/>
      </w:r>
      <w:r w:rsidRPr="00B403B9">
        <w:rPr>
          <w:color w:val="000000" w:themeColor="text1"/>
          <w:lang w:val="en-GB"/>
        </w:rPr>
        <w:t>Make sure that all arrows, lines, and letters have the same size/style. Check consistency of label names+units</w:t>
      </w:r>
      <w:r w:rsidRPr="00B403B9">
        <w:rPr>
          <w:b/>
          <w:color w:val="000000" w:themeColor="text1"/>
          <w:lang w:val="en-GB"/>
        </w:rPr>
        <w:t xml:space="preserve"> </w:t>
      </w:r>
    </w:p>
    <w:p w14:paraId="53433E63" w14:textId="55BD3D5F" w:rsidR="00B403B9" w:rsidRPr="00B403B9" w:rsidRDefault="00B403B9">
      <w:pPr>
        <w:pStyle w:val="CommentText"/>
        <w:rPr>
          <w:lang w:val="en-GB"/>
        </w:rPr>
      </w:pPr>
    </w:p>
  </w:comment>
  <w:comment w:id="1" w:author="Joris Carmiggelt - TNW" w:date="2021-04-22T10:44:00Z" w:initials="JC-T">
    <w:p w14:paraId="42B414A2" w14:textId="5C8DBA8E" w:rsidR="00B403B9" w:rsidRPr="00B403B9" w:rsidRDefault="00B403B9" w:rsidP="00B403B9">
      <w:pPr>
        <w:rPr>
          <w:lang w:val="en-GB"/>
        </w:rPr>
      </w:pPr>
      <w:r>
        <w:rPr>
          <w:rStyle w:val="CommentReference"/>
        </w:rPr>
        <w:annotationRef/>
      </w:r>
      <w:r w:rsidR="00B15DC0" w:rsidRPr="00B15DC0">
        <w:rPr>
          <w:lang w:val="en-GB"/>
        </w:rPr>
        <w:t>S</w:t>
      </w:r>
      <w:r w:rsidR="00B15DC0">
        <w:rPr>
          <w:lang w:val="en-GB"/>
        </w:rPr>
        <w:t>hould we a</w:t>
      </w:r>
      <w:r w:rsidRPr="00B403B9">
        <w:rPr>
          <w:lang w:val="en-GB"/>
        </w:rPr>
        <w:t>dd a measurement of the linewidth versus field to extract Gilbert damping</w:t>
      </w:r>
      <w:r w:rsidR="00B15DC0">
        <w:rPr>
          <w:lang w:val="en-GB"/>
        </w:rPr>
        <w:t>?</w:t>
      </w:r>
      <w:r w:rsidRPr="00B403B9">
        <w:rPr>
          <w:lang w:val="en-GB"/>
        </w:rPr>
        <w:t xml:space="preserve"> -&gt; </w:t>
      </w:r>
      <w:r w:rsidR="00B15DC0">
        <w:rPr>
          <w:lang w:val="en-GB"/>
        </w:rPr>
        <w:t>If yes, a</w:t>
      </w:r>
      <w:r w:rsidRPr="00B403B9">
        <w:rPr>
          <w:lang w:val="en-GB"/>
        </w:rPr>
        <w:t>sk Carsten</w:t>
      </w:r>
      <w:r w:rsidRPr="00B403B9">
        <w:rPr>
          <w:lang w:val="en-GB"/>
        </w:rPr>
        <w:t>.</w:t>
      </w:r>
    </w:p>
    <w:p w14:paraId="21667245" w14:textId="3716BD34" w:rsidR="00B403B9" w:rsidRDefault="00B403B9" w:rsidP="00B403B9">
      <w:pPr>
        <w:rPr>
          <w:lang w:val="en-GB"/>
        </w:rPr>
      </w:pPr>
      <w:r w:rsidRPr="00B403B9">
        <w:rPr>
          <w:lang w:val="en-GB"/>
        </w:rPr>
        <w:br/>
        <w:t xml:space="preserve">Is mdB an okay unit? Do we want to change the labels B_0 such that they more clearly state whether the field is in plane or out </w:t>
      </w:r>
      <w:r w:rsidR="00B15DC0">
        <w:rPr>
          <w:lang w:val="en-GB"/>
        </w:rPr>
        <w:t>o</w:t>
      </w:r>
      <w:r w:rsidRPr="00B403B9">
        <w:rPr>
          <w:lang w:val="en-GB"/>
        </w:rPr>
        <w:t>f plane</w:t>
      </w:r>
    </w:p>
    <w:p w14:paraId="7E65525F" w14:textId="10160897" w:rsidR="00B15DC0" w:rsidRDefault="00B15DC0" w:rsidP="00B403B9">
      <w:pPr>
        <w:rPr>
          <w:lang w:val="en-GB"/>
        </w:rPr>
      </w:pPr>
    </w:p>
    <w:p w14:paraId="385448EC" w14:textId="6D9E3864" w:rsidR="00B15DC0" w:rsidRPr="00F65EA3" w:rsidRDefault="00B15DC0" w:rsidP="00B403B9">
      <w:pPr>
        <w:rPr>
          <w:color w:val="FF0000"/>
          <w:lang w:val="en-GB"/>
        </w:rPr>
      </w:pPr>
      <w:r>
        <w:rPr>
          <w:lang w:val="en-GB"/>
        </w:rPr>
        <w:t>Do we want to change the unit of magnetisation in a t Gauss?</w:t>
      </w:r>
    </w:p>
    <w:p w14:paraId="22CDDD1B" w14:textId="4EA81625" w:rsidR="00B403B9" w:rsidRPr="00B403B9" w:rsidRDefault="00B403B9">
      <w:pPr>
        <w:pStyle w:val="CommentText"/>
        <w:rPr>
          <w:lang w:val="en-GB"/>
        </w:rPr>
      </w:pPr>
    </w:p>
  </w:comment>
  <w:comment w:id="2" w:author="Joris Carmiggelt - TNW" w:date="2021-04-22T10:46:00Z" w:initials="JC-T">
    <w:p w14:paraId="7825691B" w14:textId="1358B232" w:rsidR="00B403B9" w:rsidRDefault="00B403B9">
      <w:pPr>
        <w:pStyle w:val="CommentText"/>
        <w:rPr>
          <w:lang w:val="en-GB"/>
        </w:rPr>
      </w:pPr>
      <w:r>
        <w:rPr>
          <w:rStyle w:val="CommentReference"/>
        </w:rPr>
        <w:annotationRef/>
      </w:r>
      <w:r w:rsidRPr="00B403B9">
        <w:rPr>
          <w:lang w:val="en-GB"/>
        </w:rPr>
        <w:t>Should we call it a network analyser rather than vector network analyser</w:t>
      </w:r>
      <w:r>
        <w:rPr>
          <w:lang w:val="en-GB"/>
        </w:rPr>
        <w:t xml:space="preserve">? In the end we are only using the absolute value of the transmission. </w:t>
      </w:r>
    </w:p>
    <w:p w14:paraId="4CB8F078" w14:textId="6DEE104B" w:rsidR="00B403B9" w:rsidRDefault="00B403B9">
      <w:pPr>
        <w:pStyle w:val="CommentText"/>
        <w:rPr>
          <w:lang w:val="en-GB"/>
        </w:rPr>
      </w:pPr>
    </w:p>
    <w:p w14:paraId="60F4123E" w14:textId="1292FEE0" w:rsidR="00B403B9" w:rsidRPr="00B403B9" w:rsidRDefault="00814F93">
      <w:pPr>
        <w:pStyle w:val="CommentText"/>
        <w:rPr>
          <w:lang w:val="en-GB"/>
        </w:rPr>
      </w:pPr>
      <w:r>
        <w:rPr>
          <w:lang w:val="en-GB"/>
        </w:rPr>
        <w:t>Include a coordinate axis in a</w:t>
      </w:r>
      <w:r w:rsidR="00B403B9">
        <w:rPr>
          <w:lang w:val="en-GB"/>
        </w:rPr>
        <w:t>.</w:t>
      </w:r>
      <w:r w:rsidR="00005ADA">
        <w:rPr>
          <w:lang w:val="en-GB"/>
        </w:rPr>
        <w:t xml:space="preserve"> Same as Sci.Adv. paper? Instead of k, write k_y</w:t>
      </w:r>
    </w:p>
  </w:comment>
  <w:comment w:id="3" w:author="Joris Carmiggelt - TNW" w:date="2021-04-22T11:42:00Z" w:initials="JC-T">
    <w:p w14:paraId="7E509EE1" w14:textId="5DF2C176" w:rsidR="00E47EA3" w:rsidRDefault="00E47EA3">
      <w:pPr>
        <w:pStyle w:val="CommentText"/>
        <w:rPr>
          <w:lang w:val="en-GB"/>
        </w:rPr>
      </w:pPr>
      <w:r>
        <w:rPr>
          <w:rStyle w:val="CommentReference"/>
        </w:rPr>
        <w:annotationRef/>
      </w:r>
      <w:r w:rsidRPr="00E47EA3">
        <w:rPr>
          <w:lang w:val="en-GB"/>
        </w:rPr>
        <w:t>Fix relative sizes of the figures</w:t>
      </w:r>
      <w:r>
        <w:rPr>
          <w:lang w:val="en-GB"/>
        </w:rPr>
        <w:t xml:space="preserve">: a should be equally broad as b and c. </w:t>
      </w:r>
      <w:r>
        <w:rPr>
          <w:lang w:val="en-GB"/>
        </w:rPr>
        <w:br/>
        <w:t>Maybe split lower and upper panel of a in two figures (a and b)? Might make the description in the caption a bit easier.</w:t>
      </w:r>
      <w:r>
        <w:rPr>
          <w:lang w:val="en-GB"/>
        </w:rPr>
        <w:br/>
        <w:t>Find better label for y-axis of a.</w:t>
      </w:r>
      <w:r>
        <w:rPr>
          <w:lang w:val="en-GB"/>
        </w:rPr>
        <w:br/>
        <w:t>Are datapoints visible enough? Maybe make them slightly bigger?</w:t>
      </w:r>
      <w:r>
        <w:rPr>
          <w:lang w:val="en-GB"/>
        </w:rPr>
        <w:br/>
        <w:t>Less ticks for vg.</w:t>
      </w:r>
    </w:p>
    <w:p w14:paraId="44F4A256" w14:textId="3B061658" w:rsidR="00E47EA3" w:rsidRPr="00E47EA3" w:rsidRDefault="00E47EA3">
      <w:pPr>
        <w:pStyle w:val="CommentText"/>
        <w:rPr>
          <w:lang w:val="en-GB"/>
        </w:rPr>
      </w:pPr>
      <w:r>
        <w:rPr>
          <w:lang w:val="en-GB"/>
        </w:rPr>
        <w:t>Put figures slightly further apart, now it is a little bit busy.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3433E63" w15:done="0"/>
  <w15:commentEx w15:paraId="22CDDD1B" w15:done="0"/>
  <w15:commentEx w15:paraId="60F4123E" w15:done="0"/>
  <w15:commentEx w15:paraId="44F4A256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E17B5C" w14:textId="77777777" w:rsidR="002B7722" w:rsidRDefault="002B7722" w:rsidP="00264FC8">
      <w:pPr>
        <w:spacing w:after="0" w:line="240" w:lineRule="auto"/>
      </w:pPr>
      <w:r>
        <w:separator/>
      </w:r>
    </w:p>
  </w:endnote>
  <w:endnote w:type="continuationSeparator" w:id="0">
    <w:p w14:paraId="5FD87631" w14:textId="77777777" w:rsidR="002B7722" w:rsidRDefault="002B7722" w:rsidP="00264F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C5B3DE" w14:textId="77777777" w:rsidR="002B7722" w:rsidRDefault="002B7722" w:rsidP="00264FC8">
      <w:pPr>
        <w:spacing w:after="0" w:line="240" w:lineRule="auto"/>
      </w:pPr>
      <w:r>
        <w:separator/>
      </w:r>
    </w:p>
  </w:footnote>
  <w:footnote w:type="continuationSeparator" w:id="0">
    <w:p w14:paraId="55BB14D8" w14:textId="77777777" w:rsidR="002B7722" w:rsidRDefault="002B7722" w:rsidP="00264FC8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oris Carmiggelt - TNW">
    <w15:presenceInfo w15:providerId="AD" w15:userId="S-1-5-21-2082945442-480271342-340043625-33337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1C6"/>
    <w:rsid w:val="00005ADA"/>
    <w:rsid w:val="00020114"/>
    <w:rsid w:val="00044BFB"/>
    <w:rsid w:val="00057BCE"/>
    <w:rsid w:val="000607B3"/>
    <w:rsid w:val="000611EF"/>
    <w:rsid w:val="00065E23"/>
    <w:rsid w:val="0008175A"/>
    <w:rsid w:val="000B55B4"/>
    <w:rsid w:val="000E37CC"/>
    <w:rsid w:val="00101313"/>
    <w:rsid w:val="00103E3B"/>
    <w:rsid w:val="001506B9"/>
    <w:rsid w:val="001B3BD8"/>
    <w:rsid w:val="001C56F4"/>
    <w:rsid w:val="001F0952"/>
    <w:rsid w:val="001F3C66"/>
    <w:rsid w:val="00206D34"/>
    <w:rsid w:val="00227D21"/>
    <w:rsid w:val="002311C6"/>
    <w:rsid w:val="00234163"/>
    <w:rsid w:val="00264FC8"/>
    <w:rsid w:val="00273451"/>
    <w:rsid w:val="00277125"/>
    <w:rsid w:val="00283667"/>
    <w:rsid w:val="00296F89"/>
    <w:rsid w:val="002B0FB7"/>
    <w:rsid w:val="002B7722"/>
    <w:rsid w:val="002C0102"/>
    <w:rsid w:val="00302398"/>
    <w:rsid w:val="00325944"/>
    <w:rsid w:val="003320CD"/>
    <w:rsid w:val="003329C4"/>
    <w:rsid w:val="00363A4F"/>
    <w:rsid w:val="003A5293"/>
    <w:rsid w:val="00435457"/>
    <w:rsid w:val="00451F6C"/>
    <w:rsid w:val="004770A7"/>
    <w:rsid w:val="00480C3D"/>
    <w:rsid w:val="004A5EA6"/>
    <w:rsid w:val="004F3D13"/>
    <w:rsid w:val="005007C6"/>
    <w:rsid w:val="00513023"/>
    <w:rsid w:val="005254D4"/>
    <w:rsid w:val="00530153"/>
    <w:rsid w:val="00533573"/>
    <w:rsid w:val="00536D39"/>
    <w:rsid w:val="00537270"/>
    <w:rsid w:val="0057295F"/>
    <w:rsid w:val="0059392E"/>
    <w:rsid w:val="00594042"/>
    <w:rsid w:val="005C1A90"/>
    <w:rsid w:val="005C472A"/>
    <w:rsid w:val="0063630A"/>
    <w:rsid w:val="006428E8"/>
    <w:rsid w:val="006640AA"/>
    <w:rsid w:val="006A466D"/>
    <w:rsid w:val="006A5C02"/>
    <w:rsid w:val="006D0508"/>
    <w:rsid w:val="006F219A"/>
    <w:rsid w:val="00700852"/>
    <w:rsid w:val="00707C6C"/>
    <w:rsid w:val="00713F39"/>
    <w:rsid w:val="00726C99"/>
    <w:rsid w:val="007606FE"/>
    <w:rsid w:val="00772375"/>
    <w:rsid w:val="00775D80"/>
    <w:rsid w:val="00794F7E"/>
    <w:rsid w:val="007B3E60"/>
    <w:rsid w:val="007B4ECF"/>
    <w:rsid w:val="007E1BA6"/>
    <w:rsid w:val="007E7F90"/>
    <w:rsid w:val="00801AEF"/>
    <w:rsid w:val="008044AD"/>
    <w:rsid w:val="0080648C"/>
    <w:rsid w:val="00814F93"/>
    <w:rsid w:val="0081538D"/>
    <w:rsid w:val="00827778"/>
    <w:rsid w:val="0084579A"/>
    <w:rsid w:val="008B71C2"/>
    <w:rsid w:val="008E21EA"/>
    <w:rsid w:val="008F7AAC"/>
    <w:rsid w:val="009109EC"/>
    <w:rsid w:val="0095001E"/>
    <w:rsid w:val="00956D2F"/>
    <w:rsid w:val="00956FA1"/>
    <w:rsid w:val="009670F6"/>
    <w:rsid w:val="00972A99"/>
    <w:rsid w:val="00A6096E"/>
    <w:rsid w:val="00A937C1"/>
    <w:rsid w:val="00AA3918"/>
    <w:rsid w:val="00AC6726"/>
    <w:rsid w:val="00B15DC0"/>
    <w:rsid w:val="00B22EE7"/>
    <w:rsid w:val="00B403B9"/>
    <w:rsid w:val="00B525C9"/>
    <w:rsid w:val="00B65A9D"/>
    <w:rsid w:val="00B67E14"/>
    <w:rsid w:val="00B93235"/>
    <w:rsid w:val="00BA69D1"/>
    <w:rsid w:val="00BD0433"/>
    <w:rsid w:val="00BF05D7"/>
    <w:rsid w:val="00C17712"/>
    <w:rsid w:val="00C41C81"/>
    <w:rsid w:val="00C50BD5"/>
    <w:rsid w:val="00C5226D"/>
    <w:rsid w:val="00C848D0"/>
    <w:rsid w:val="00CD6DC9"/>
    <w:rsid w:val="00CE0280"/>
    <w:rsid w:val="00CE12FF"/>
    <w:rsid w:val="00D121DF"/>
    <w:rsid w:val="00D3211A"/>
    <w:rsid w:val="00D44591"/>
    <w:rsid w:val="00DD7C04"/>
    <w:rsid w:val="00DF078E"/>
    <w:rsid w:val="00E047B1"/>
    <w:rsid w:val="00E20D6C"/>
    <w:rsid w:val="00E338DF"/>
    <w:rsid w:val="00E47EA3"/>
    <w:rsid w:val="00E8393F"/>
    <w:rsid w:val="00EC0FE1"/>
    <w:rsid w:val="00F16D93"/>
    <w:rsid w:val="00F1741F"/>
    <w:rsid w:val="00F2242F"/>
    <w:rsid w:val="00F22802"/>
    <w:rsid w:val="00F36C63"/>
    <w:rsid w:val="00F44E8C"/>
    <w:rsid w:val="00F47F35"/>
    <w:rsid w:val="00F65EA3"/>
    <w:rsid w:val="00F7387B"/>
    <w:rsid w:val="00F76CD6"/>
    <w:rsid w:val="00FB0727"/>
    <w:rsid w:val="00FD3C4D"/>
    <w:rsid w:val="00FD424F"/>
    <w:rsid w:val="00FD7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67CAF"/>
  <w15:chartTrackingRefBased/>
  <w15:docId w15:val="{A55877E2-AC25-49A1-BEBA-3D84D0B6C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311C6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2311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F3D1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F3D1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F3D1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F3D1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F3D1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3D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D13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2242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64F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FC8"/>
  </w:style>
  <w:style w:type="paragraph" w:styleId="Footer">
    <w:name w:val="footer"/>
    <w:basedOn w:val="Normal"/>
    <w:link w:val="FooterChar"/>
    <w:uiPriority w:val="99"/>
    <w:unhideWhenUsed/>
    <w:rsid w:val="00264F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F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09EA50C-1436-4C12-8D6D-3515FA2305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1726</TotalTime>
  <Pages>3</Pages>
  <Words>599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TU Delft</Company>
  <LinksUpToDate>false</LinksUpToDate>
  <CharactersWithSpaces>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Joris Carmiggelt - TNW</dc:creator>
  <cp:keywords/>
  <dc:description/>
  <cp:lastModifiedBy>Joris Carmiggelt - TNW</cp:lastModifiedBy>
  <cp:revision>50</cp:revision>
  <dcterms:created xsi:type="dcterms:W3CDTF">2021-04-06T10:55:00Z</dcterms:created>
  <dcterms:modified xsi:type="dcterms:W3CDTF">2021-04-22T09:58:00Z</dcterms:modified>
</cp:coreProperties>
</file>