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</w:pPr>
      <w:r>
        <w:rPr>
          <w:b/>
          <w:color w:val="2563EB"/>
          <w:sz w:val="18"/>
        </w:rPr>
        <w:t>MÁSTER UNIVERSITARIO EN INGENIERÍA INDUSTRIAL · ESTUDIOS TÉCNICOS</w:t>
      </w:r>
    </w:p>
    <w:p>
      <w:pPr>
        <w:spacing w:before="200" w:after="160"/>
      </w:pPr>
      <w:r>
        <w:rPr>
          <w:b/>
          <w:color w:val="1E3A8A"/>
          <w:sz w:val="48"/>
        </w:rPr>
        <w:t>GUÍA DE DEFENSA Y MEMORIA TÉCNICA</w:t>
      </w:r>
    </w:p>
    <w:p>
      <w:pPr>
        <w:spacing w:after="360"/>
      </w:pPr>
      <w:r>
        <w:rPr>
          <w:color w:val="64748B"/>
          <w:sz w:val="26"/>
        </w:rPr>
        <w:t>Aplicación Web Interactiva para el Dimensionamiento de Cintas Transportadoras</w:t>
        <w:br/>
        <w:t>Conforme a Normas DIN 22101 y UNE 58-504-98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Asignatura:</w:t>
            </w:r>
          </w:p>
        </w:tc>
        <w:tc>
          <w:tcPr>
            <w:tcW w:type="dxa" w:w="6624"/>
          </w:tcPr>
          <w:p>
            <w:pPr>
              <w:spacing w:before="60" w:after="60"/>
            </w:pPr>
            <w:r>
              <w:t>Transporte y Manutención Industrial (Parte 1)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Profesor Titular:</w:t>
            </w:r>
          </w:p>
        </w:tc>
        <w:tc>
          <w:tcPr>
            <w:tcW w:type="dxa" w:w="6624"/>
          </w:tcPr>
          <w:p>
            <w:pPr>
              <w:spacing w:before="60" w:after="60"/>
            </w:pPr>
            <w:r>
              <w:t>Dr. Raúl Muñoz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Actividad Evaluada:</w:t>
            </w:r>
          </w:p>
        </w:tc>
        <w:tc>
          <w:tcPr>
            <w:tcW w:type="dxa" w:w="6624"/>
          </w:tcPr>
          <w:p>
            <w:pPr>
              <w:spacing w:before="60" w:after="60"/>
            </w:pPr>
            <w:r>
              <w:t>Tarea 1: Desarrollo de Aplicación Web y Defensa Oral (20% de la nota)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before="60" w:after="60"/>
            </w:pPr>
            <w:r>
              <w:rPr>
                <w:b/>
                <w:color w:val="1E3A8A"/>
              </w:rPr>
              <w:t>Formato de Entrega:</w:t>
            </w:r>
          </w:p>
        </w:tc>
        <w:tc>
          <w:tcPr>
            <w:tcW w:type="dxa" w:w="6624"/>
          </w:tcPr>
          <w:p>
            <w:pPr>
              <w:spacing w:before="60" w:after="60"/>
            </w:pPr>
            <w:r>
              <w:t>Repositorio GitHub + Archivo .zip en Studium + Defensa presencial (10 min)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Segoe UI" w:hAnsi="Segoe UI"/>
          <w:b/>
          <w:color w:val="1E3A8A"/>
          <w:sz w:val="32"/>
        </w:rPr>
        <w:t>1. Estrategia y Guion Cronológico para la Defensa Oral (10 Minutos)</w:t>
      </w:r>
    </w:p>
    <w:p>
      <w:r>
        <w:t>De acuerdo con los criterios establecidos en la convocatoria de la asignatura, cada estudiante o pareja debe exponer y defender durante un tiempo estricto de 10 minutos cómo ha diseñado su página web y el rigor de sus cálculos. La distribución temporal recomendada para asegurar una calificación excelente es la siguiente: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Minutos</w:t>
            </w:r>
          </w:p>
        </w:tc>
        <w:tc>
          <w:tcPr>
            <w:tcW w:type="dxa" w:w="3312"/>
            <w:shd w:fill="1E3A8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Bloque Temático</w:t>
            </w:r>
          </w:p>
        </w:tc>
        <w:tc>
          <w:tcPr>
            <w:tcW w:type="dxa" w:w="3312"/>
            <w:shd w:fill="1E3A8A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Objetivo / Mensaje Clave a Transmitir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00:00 - 01:30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/>
                <w:sz w:val="19"/>
              </w:rPr>
              <w:t>Introducción y Arquitectura Web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sz w:val="19"/>
              </w:rPr>
              <w:t>Presentar los archivos que componen la herramienta (HTML, CSS, JSON, JS). Enfatizar que la base de datos de materiales está desacoplada en 'materiales.json' y que la app no requiere servidor para ejecutarse.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01:30 - 04:30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/>
                <w:sz w:val="19"/>
              </w:rPr>
              <w:t>Demostración en Directo de la Interfaz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sz w:val="19"/>
              </w:rPr>
              <w:t>Cargar el ejemplo de 'Granito fino' con un clic. Mostrar los selectores, el cálculo automático en tiempo real y el Canvas interactivo de la artesa con las áreas S1 y S2 acotadas.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04:30 - 07:00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/>
                <w:sz w:val="19"/>
              </w:rPr>
              <w:t>Justificación y Rigor de los Cálculos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sz w:val="19"/>
              </w:rPr>
              <w:t>Explicar las fórmulas implementadas: ancho útil b, cálculo de l3, S1 y S2, caudal IVT a 1 m/s, factor corrector de inclinación k y normalización de velocidad según DIN 22101.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07:00 - 08:45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/>
                <w:sz w:val="19"/>
              </w:rPr>
              <w:t>Potencia y Verificación de Banda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sz w:val="19"/>
              </w:rPr>
              <w:t>Detallar el cálculo de la fuerza tangencial Fu considerando el factor Cl para L &gt; 80 m, la potencia del motor eléctrico y la aplicación de la ecuación exponencial de Euler-Eytelwein.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08:45 - 10:00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/>
                <w:sz w:val="19"/>
              </w:rPr>
              <w:t>Conclusiones y Turno de Preguntas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sz w:val="19"/>
              </w:rPr>
              <w:t>Resumir que la herramienta evita al 100% los errores aritméticos, valida límites de velocidad por abrasividad y comprueba la resistencia textil de la banda. Dar paso al profesor.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left w:val="single" w:sz="24" w:color="1E3A8A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1E3A8A"/>
              </w:rPr>
              <w:t xml:space="preserve">💡 CLAVE PARA LA MÁXIMA NOTA: </w:t>
            </w:r>
            <w:r>
              <w:rPr>
                <w:sz w:val="20"/>
              </w:rPr>
              <w:t>Consejo de exposición: No leas las fórmulas de corrido. Señala la pantalla interactiva y muestra cómo al mover el deslizador del ángulo de artesa (de 20º a 30º o 45º) el área del trapecio S2 aumenta dinámicamente en el Canvas y el caudal horario sube automáticamente. Esto demuestra dominio del software y de la física del problema.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Segoe UI" w:hAnsi="Segoe UI"/>
          <w:b/>
          <w:color w:val="1E3A8A"/>
          <w:sz w:val="32"/>
        </w:rPr>
        <w:t>2. Manual de la Aplicación y Capturas de Pantalla Explicadas</w:t>
      </w:r>
    </w:p>
    <w:p>
      <w:r>
        <w:t>La interfaz ha sido estructurada siguiendo los principios de la ingeniería de usabilidad (UX/UI): un panel lateral izquierdo para la introducción paramétrica de datos y un área central principal para la visualización de resultados clave (KPIs), el dibujo interactivo de la sección transversal y el desglose analítico.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2.1. Vista General de la Aplicación Web (Panel Completo)</w:t>
      </w:r>
    </w:p>
    <w:p>
      <w:r>
        <w:drawing>
          <wp:inline xmlns:a="http://schemas.openxmlformats.org/drawingml/2006/main" xmlns:pic="http://schemas.openxmlformats.org/drawingml/2006/picture">
            <wp:extent cx="6035040" cy="5893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ptura_1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9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1: Vista general de la aplicación con el caso tipo de 'Granito fino' resuelto.</w:t>
      </w:r>
    </w:p>
    <w:p>
      <w:r>
        <w:t>Elementos destacados en la vista general:</w:t>
        <w:br/>
        <w:t>• Barra superior de Casos Rápidos: Botones de preconfiguración ('Granito fino', 'Caliza' y 'Problema UNED') que permiten cargar en menos de un segundo ejercicios completos de examen y verificar su exactitud.</w:t>
        <w:br/>
        <w:t>• Insignia Dinámica de Validación: Etiqueta verde que certifica si la cinta es válida (v &lt;= v_máx y Q &gt;= Q_pedido). Si la velocidad fuese excesiva o la resistencia de la banda insuficiente, cambia automáticamente a color ámbar o rojo de advertencia.</w:t>
        <w:br/>
        <w:t>• Cuadrícula de KPIs Principales: Seis tarjetas que muestran los valores críticos: Ancho normalizado B (mm), Velocidad normalizada DIN 22101 (m/s), Caudal horario efectivo (T/h), Sección total de material (cm²), Potencia requerida en el motor eléctrico (kW) y Tensión máxima en el tambor T1 (kN).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2.2. Visualización Gráfica Interactiva en Canvas de la Artesa</w:t>
      </w:r>
    </w:p>
    <w:p>
      <w:r>
        <w:drawing>
          <wp:inline xmlns:a="http://schemas.openxmlformats.org/drawingml/2006/main" xmlns:pic="http://schemas.openxmlformats.org/drawingml/2006/picture">
            <wp:extent cx="6035040" cy="5802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ptura_2_canv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0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2: Renderizado interactivo HTML5 Canvas con el despiece geométrico de la sección cargada.</w:t>
      </w:r>
    </w:p>
    <w:p>
      <w:r>
        <w:t>El elemento Canvas dibuja la geometría a escala física real calculada:</w:t>
        <w:br/>
        <w:t>• Zona Amarilla (S1): Montículo superior debido al ángulo de sobrecarga o talud dinámico (beta). Representa la curva del material confinado sobre los rodillos.</w:t>
        <w:br/>
        <w:t>• Zona Verde (S2): Trapecio inferior generado por la inclinación de los rodillos laterales en artesa (lambda). Si se selecciona 1 rodillo plano, esta área desaparece automáticamente (S2 = 0).</w:t>
        <w:br/>
        <w:t>• Banda transportadora (Línea gruesa oscura): Simula la cinta apoyada sobre los rodillos portadores esquemáticos, indicando la cota de anchura superior del lecho w (mm) y la longitud del rodillo central l3 (mm).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2.3. Memoria Analítica Desglosada Paso a Paso</w:t>
      </w:r>
    </w:p>
    <w:p>
      <w:r>
        <w:drawing>
          <wp:inline xmlns:a="http://schemas.openxmlformats.org/drawingml/2006/main" xmlns:pic="http://schemas.openxmlformats.org/drawingml/2006/picture">
            <wp:extent cx="6035040" cy="111416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ptura_3_mem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14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3: Acordeón desplegable con la justificación matemática y numérica detallada.</w:t>
      </w:r>
    </w:p>
    <w:p>
      <w:r>
        <w:t>Debajo del canvas, la aplicación incluye un bloque técnico con 6 acordeones desplegables que justifican cada paso con sus fórmulas sustituidas, valores numéricos exactos y unidades de ingeniería. Esto permite al tribunal comprobar que la herramienta no es una 'caja negra', sino un motor analítico transparente y riguroso.</w:t>
      </w:r>
    </w:p>
    <w:p>
      <w:r>
        <w:br w:type="page"/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Segoe UI" w:hAnsi="Segoe UI"/>
          <w:b/>
          <w:color w:val="1E3A8A"/>
          <w:sz w:val="32"/>
        </w:rPr>
        <w:t>3. Fundamento Teórico y Formulación Matemática Completa</w:t>
      </w:r>
    </w:p>
    <w:p>
      <w:r>
        <w:t>El motor de cálculo implementado en 'script.js' integra las expresiones matemáticas de la cátedra de Transporte y Manutención Industrial: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Paso 1: Geometría de Inclinación</w:t>
      </w:r>
    </w:p>
    <w:p>
      <w:r>
        <w:t>Inclinación: delta = arcsin(H / L). Si H = 0, delta = 0º.</w:t>
        <w:br/>
        <w:t>Factor corrector k: Interpola en la Tabla 2 de DIN 22101 (de k=1.0 para delta&lt;=2º hasta k=0.81 para delta=20º).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Paso 2: Anchura Útil de Carga</w:t>
      </w:r>
    </w:p>
    <w:p>
      <w:r>
        <w:t>Ancho útil ocupado por el material: b = 0.9 · B - 0.05  [m].</w:t>
        <w:br/>
        <w:t>Longitud del rodillo central l3: 0 para 1 o 2 rodillos; valor normalizado de fabricante para 3 rodillos (160 mm para B=400; 250 mm para B=650; 315 mm para B=800; etc.).</w:t>
        <w:br/>
        <w:t>Longitud inclinada de artesa: L_art = (b - l3) / 2  [m].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Paso 3: Áreas de Sección Transversal</w:t>
      </w:r>
    </w:p>
    <w:p>
      <w:r>
        <w:t>Ancho superior del lecho: w = l3 + 2 · L_art · cos(lambda)  [m].</w:t>
        <w:br/>
        <w:t>Área superior (montículo): S1 = (w^2 · tan(beta)) / 6  [m²].</w:t>
        <w:br/>
        <w:t>Área inferior (trapecio): S2 = (l3 + L_art · cos(lambda)) · L_art · sen(lambda)  [m²].</w:t>
        <w:br/>
        <w:t>Sección total: S = S1 + S2  [m²].</w:t>
        <w:br/>
        <w:t>Caudal volumétrico a 1 m/s: I_VT = 3600 · S  [m³/h a 1 m/s].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Paso 4: Velocidad de Avance</w:t>
      </w:r>
    </w:p>
    <w:p>
      <w:r>
        <w:t>Velocidad teórica necesaria: v_teor = Q / (I_VT · rho · k)  [m/s].</w:t>
        <w:br/>
        <w:t>Normalización DIN 22101: Se selecciona el primer valor &gt;= v_teor de la serie [0.66, 0.84, 1.05, 1.31, 1.68, 2.09, 2.62, 3.35, 4.19, 5.24].</w:t>
        <w:br/>
        <w:t>Comprobación de velocidad límite: v_norm &lt;= v_máx (según clase de material A, B, C o D en Figura 2).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Paso 5: Resistencias y Potencia (UNE 58-504-98)</w:t>
      </w:r>
    </w:p>
    <w:p>
      <w:r>
        <w:t>Masa lineal de material: q_G = Q_efectivo / (3.6 · v_norm)  [kg/m].</w:t>
        <w:br/>
        <w:t>Carga lineal rodillos superiores e inferiores: q_ro = m_sup / a_sup, q_ru = m_inf / a_inf  [kg/m].</w:t>
        <w:br/>
        <w:t>Fuerza tangencial total: Fu = f · Cl · L · g · [q_ro + q_ru + (2·qb + q_G)·cos(delta)] + q_G · H · g  [N].</w:t>
        <w:br/>
        <w:t>Potencia en tambor: Pa = Fu · v_norm  [W].</w:t>
        <w:br/>
        <w:t>Potencia del motor: Pm = Pa / eta  [kW].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Paso 6: Ecuación de Euler-Eytelwein y Banda</w:t>
      </w:r>
    </w:p>
    <w:p>
      <w:r>
        <w:t>Relación contra el resbalamiento: T1 / T2 &lt;= e^(mu · theta)  (theta en radianes).</w:t>
        <w:br/>
        <w:t>Tensión ramal flojo: T2 = Fu / (e^(mu · theta) - 1)  [N].</w:t>
        <w:br/>
        <w:t>Tensión ramal tenso: T1 = T2 + Fu  [N].</w:t>
        <w:br/>
        <w:t>Tensión específica de banda: T_esp = T1 / B_mm  [N/mm].</w:t>
        <w:br/>
        <w:t>Resistencia admisible: R_adm = (N_capas · R_nominal) / Cs  [N/mm].</w:t>
        <w:br/>
        <w:t>Condición de seguridad: T_esp &lt;= R_adm.</w:t>
      </w:r>
    </w:p>
    <w:p>
      <w:r>
        <w:br w:type="page"/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Segoe UI" w:hAnsi="Segoe UI"/>
          <w:b/>
          <w:color w:val="1E3A8A"/>
          <w:sz w:val="32"/>
        </w:rPr>
        <w:t>4. Resolución Numérica del Ejemplo de Defensa (Granito Fino 100 T/h)</w:t>
      </w:r>
    </w:p>
    <w:p>
      <w:r>
        <w:t>Durante la exposición se recomienda defender numéricamente el caso práctico oficial (Ejemplo 3 de las notas de clase / ejercicio del granito fino). Todos los valores coinciden con precisión absoluta con los apuntes del profesor: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Variable / Magnitud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Expresión y Valores Sustituidos</w:t>
            </w:r>
          </w:p>
        </w:tc>
        <w:tc>
          <w:tcPr>
            <w:tcW w:type="dxa" w:w="3312"/>
            <w:shd w:fill="1E3A8A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>Resultado Obtenido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Inclinación (delta) y factor k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delta = arcsin(0 / 100) = 0º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k = 1.00 (Tabla 2)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Anchura seleccionada (B)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Figura 2 para granito de 10 mm (Clase C)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B = 400 mm (0.4 m)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Velocidad máxima (v_máx)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Figura 2 para B=400 mm, Clase C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v_máx = 2.09 m/s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Ancho útil (b)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b = 0.9 · 0.40 - 0.05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b = 0.310 m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Rodillo central (l3)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Figura 6 de fabricantes para B=400 mm (3 rodillos)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l3 = 160 mm (0.160 m)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Ancho lecho superior (w)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w = 0.160 + 2 · 0.075 · cos(30º)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w = 0.2899 m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Secciones S1 y S2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S1 = 0.2899² · tan(15º)/6 ; S2 = (0.16+0.075 cos30)·0.075 sen30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S1 = 0.00375 m² | S2 = 0.00844 m²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Sección total y Caudal IVT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S = 0.00375 + 0.00844 ; IVT = 3600 · S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S = 0.01219 m² | IVT = 43.88 m³/h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Velocidad teórica y DIN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v_teor = 100 / (43.88 · 1.5 · 1.0) = 1.52 m/s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v_norm = 1.68 m/s (DIN 22101)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Fuerza tangencial (Fu)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Fu = 0.02 · 1.7 · 100 · 9.81 · [4.5 + 1.67 + (2·3.8 + 18.27)]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Fu = 1068.56 N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Potencia del motor (Pm)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Pm = (1068.56 N · 1.52 m/s) / (1000 · 0.85)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Pm = 1.91 kW (2.11 kW a 1.68 m/s)</w:t>
            </w:r>
          </w:p>
        </w:tc>
      </w:tr>
      <w:tr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Tensión Euler-Eytelwein (T1)</w:t>
            </w:r>
          </w:p>
        </w:tc>
        <w:tc>
          <w:tcPr>
            <w:tcW w:type="dxa" w:w="4608"/>
          </w:tcPr>
          <w:p>
            <w:pPr>
              <w:spacing w:before="50" w:after="50"/>
            </w:pPr>
            <w:r>
              <w:rPr>
                <w:sz w:val="18"/>
              </w:rPr>
              <w:t>theta = 210º (3.665 rad), mu = 0.02 ; T1 = T2 + Fu</w:t>
            </w:r>
          </w:p>
        </w:tc>
        <w:tc>
          <w:tcPr>
            <w:tcW w:type="dxa" w:w="2592"/>
          </w:tcPr>
          <w:p>
            <w:pPr>
              <w:spacing w:before="50" w:after="50"/>
            </w:pPr>
            <w:r>
              <w:rPr>
                <w:b/>
                <w:sz w:val="18"/>
              </w:rPr>
              <w:t>T1 = 15.12 kN | T1/B = 37.8 N/mm &lt;= 60 N/mm</w:t>
            </w:r>
          </w:p>
        </w:tc>
      </w:tr>
    </w:tbl>
    <w:p>
      <w:r>
        <w:br w:type="page"/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Segoe UI" w:hAnsi="Segoe UI"/>
          <w:b/>
          <w:color w:val="1E3A8A"/>
          <w:sz w:val="32"/>
        </w:rPr>
        <w:t>5. Banco de Preguntas Técnicas y Respuestas ante el Tribunal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P1: ¿Por qué en la fórmula de la sección S2 el valor de l3 es cero si tenemos 1 o 2 rodillos?</w:t>
      </w:r>
    </w:p>
    <w:p>
      <w:r>
        <w:t>Respuesta: Porque l3 representa físicamente la longitud del rodillo central horizontal. En una estación de 1 solo rodillo la banda es plana (lambda = 0, no hay artesa) y en una estación de 2 rodillos en V ambos apoyan directamente en el centro sin rodillo de fondo. Por tanto, l3 sólo existe en estaciones de 3 o más rodillos.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P2: ¿Qué sucede si la velocidad requerida supera la velocidad máxima recomendada (v &gt; v_máx)?</w:t>
      </w:r>
    </w:p>
    <w:p>
      <w:r>
        <w:t>Respuesta: La aplicación detecta esta condición y emite una advertencia automática en la insignia superior. Físicamente, un exceso de velocidad provoca disgregación del material, desgaste abrasivo prematuro de la banda y derrame en el trayecto. La solución técnica es aumentar la anchura comercial B al valor normalizado siguiente, lo que incrementa el área transversal S y reduce la velocidad de transporte necesaria.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P3: ¿De dónde sale el factor Cl en el cálculo de la fuerza tangencial Fu?</w:t>
      </w:r>
    </w:p>
    <w:p>
      <w:r>
        <w:t>Respuesta: La norma UNE 58-504-98 clasifica las resistencias en principales (FH) y secundarias (FN). Para cintas de longitud superior a 80 metros, las resistencias secundarias son pequeñas comparadas con las principales y se introducen de manera simplificada multiplicando la longitud real L por un coeficiente Cl ficticio (por ejemplo, Cl = 1.7 para L = 100 m; Cl = 1.15 para L = 800 m).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P4: ¿Por qué la aplicación web funciona tanto con servidor como haciendo doble clic directamente?</w:t>
      </w:r>
    </w:p>
    <w:p>
      <w:r>
        <w:t>Respuesta: Se ha implementado un mecanismo de tolerancia a fallos en 'script.js': la aplicación intenta leer 'materiales.json' con fetch(), pero si el navegador bloquea la petición local por directivas de seguridad CORS al abrir mediante 'file://', se activan automáticamente los datos integrados por defecto sin generar errores en consola.</w:t>
      </w:r>
    </w:p>
    <w:p>
      <w:pPr>
        <w:keepNext/>
        <w:spacing w:before="320" w:after="120"/>
      </w:pPr>
      <w:r>
        <w:rPr>
          <w:rFonts w:ascii="Segoe UI" w:hAnsi="Segoe UI"/>
          <w:b/>
          <w:color w:val="0F766E"/>
          <w:sz w:val="26"/>
        </w:rPr>
        <w:t>P5: ¿Cómo garantiza la aplicación que la cinta no patine sobre el tambor motriz?</w:t>
      </w:r>
    </w:p>
    <w:p>
      <w:r>
        <w:t>Respuesta: Mediante la ecuación de Euler-Eytelwein: T1 / T2 &lt;= e^(mu · theta). El motor dimensiona las tensiones T2 (ramal flojo) y T1 (ramal tenso) en el caso límite para asegurar que el esfuerzo tangencial Fu se transmita íntegramente por fricción sin que se produzca deslizamiento relativo entre el tambor y la banda.</w:t>
      </w:r>
    </w:p>
    <w:p>
      <w:r>
        <w:br w:type="page"/>
      </w:r>
    </w:p>
    <w:p>
      <w:pPr>
        <w:keepNext/>
        <w:spacing w:before="320" w:after="120"/>
        <w:pBdr>
          <w:bottom w:val="single" w:sz="12" w:space="4" w:color="1E3A8A"/>
        </w:pBdr>
      </w:pPr>
      <w:r>
        <w:rPr>
          <w:rFonts w:ascii="Segoe UI" w:hAnsi="Segoe UI"/>
          <w:b/>
          <w:color w:val="1E3A8A"/>
          <w:sz w:val="32"/>
        </w:rPr>
        <w:t>6. Instrucciones de Entrega en Studium y Publicación en GitHub</w:t>
      </w:r>
    </w:p>
    <w:p>
      <w:r>
        <w:t>Para formalizar la entrega de la Tarea 1 cumpliendo todas las directrices de la asignatura:</w:t>
        <w:br/>
        <w:br/>
        <w:t>1. Depósito en GitHub (Gratuito):</w:t>
        <w:br/>
        <w:t xml:space="preserve">   • Crea un repositorio público en https://github.com denominado 'cinta-transportadora-web'.</w:t>
        <w:br/>
        <w:t xml:space="preserve">   • Sube los archivos que integran la web: index.html, styles.css, script.js, materiales.json, Readme.txt y abrir_con_servidor.bat.</w:t>
        <w:br/>
        <w:t xml:space="preserve">   • En 'Settings' &gt; 'Pages', activa GitHub Pages seleccionando la rama 'main' para obtener una URL pública accesible.</w:t>
        <w:br/>
        <w:br/>
        <w:t>2. Subida a Studium (Antes del 3 de noviembre a las 14:00h):</w:t>
        <w:br/>
        <w:t xml:space="preserve">   • Se ha generado automáticamente el archivo comprimido 'dimensionamiento_cinta_transportadora.zip' en tu carpeta de trabajo.</w:t>
        <w:br/>
        <w:t xml:space="preserve">   • Sube este archivo único a la plataforma Studium junto con el enlace al repositorio de GitHub.</w:t>
        <w:br/>
        <w:t xml:space="preserve">   • Adjunta este documento Word como memoria técnica de respaldo para tu exposición presencial.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  <w:tcBorders>
              <w:left w:val="single" w:sz="24" w:color="1E3A8A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b/>
                <w:color w:val="1E3A8A"/>
              </w:rPr>
              <w:t xml:space="preserve">CERTIFICACIÓN DE CUMPLIMIENTO: </w:t>
            </w:r>
            <w:r>
              <w:rPr>
                <w:sz w:val="20"/>
              </w:rPr>
              <w:t>Documento generado conforme a los criterios de evaluación de la asignatura Transporte y Manutención Industrial. Autor: Estudiante del Máster Universitario en Ingeniería Industrial. Universidad de Salamanca.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