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aps/>
          <w:color w:val="5B6573"/>
          <w:sz w:val="15"/>
          <w:szCs w:val="15"/>
        </w:rPr>
        <w:t xml:space="preserve">Région wallonne · Décret du 15 mars 2018 relatif au bail d'habitation</w:t>
      </w:r>
    </w:p>
    <w:p>
      <w:pPr>
        <w:spacing w:after="40"/>
        <w:jc w:val="center"/>
      </w:pPr>
      <w:r>
        <w:rPr>
          <w:rFonts w:ascii="Arial" w:cs="Arial" w:eastAsia="Arial" w:hAnsi="Arial"/>
          <w:b/>
          <w:bCs/>
          <w:color w:val="1F3B57"/>
          <w:sz w:val="38"/>
          <w:szCs w:val="38"/>
        </w:rPr>
        <w:t xml:space="preserve">Contrat de bail de résidence principale</w:t>
      </w:r>
    </w:p>
    <w:p>
      <w:pPr>
        <w:pBdr>
          <w:bottom w:val="single" w:color="1F3B57" w:sz="10" w:space="4"/>
        </w:pBdr>
        <w:spacing w:after="10"/>
        <w:jc w:val="center"/>
      </w:pPr>
      <w:r>
        <w:rPr>
          <w:sz w:val="4"/>
          <w:szCs w:val="4"/>
        </w:rPr>
        <w:t xml:space="preserve"/>
      </w:r>
    </w:p>
    <w:p>
      <w:pPr>
        <w:spacing w:after="160" w:before="120"/>
        <w:jc w:val="center"/>
      </w:pPr>
      <w:r>
        <w:rPr>
          <w:rFonts w:ascii="Arial" w:cs="Arial" w:eastAsia="Arial" w:hAnsi="Arial"/>
          <w:i/>
          <w:iCs/>
          <w:color w:val="5B6573"/>
          <w:sz w:val="19"/>
          <w:szCs w:val="19"/>
        </w:rPr>
        <w:t xml:space="preserve">Le présent contrat est régi par le décret wallon du 15 mars 2018 relatif au bail d'habitation et, à titre supplétif, par le Code civil.</w:t>
      </w:r>
    </w:p>
    <w:p>
      <w:pPr>
        <w:spacing w:after="90" w:before="40"/>
      </w:pPr>
      <w:r>
        <w:rPr>
          <w:rFonts w:ascii="Arial" w:cs="Arial" w:eastAsia="Arial" w:hAnsi="Arial"/>
          <w:b/>
          <w:bCs/>
          <w:color w:val="1F3B57"/>
          <w:sz w:val="20"/>
          <w:szCs w:val="20"/>
        </w:rPr>
        <w:t xml:space="preserve">ENTRE LES SOUSSIGNÉS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C9D2DC" w:sz="2"/>
              <w:left w:val="single" w:color="C9D2DC" w:sz="2"/>
              <w:bottom w:val="single" w:color="C9D2DC" w:sz="2"/>
              <w:right w:val="single" w:color="C9D2DC" w:sz="2"/>
            </w:tcBorders>
            <w:shd w:fill="1F3B57" w:val="clear"/>
            <w:tcMar>
              <w:top w:type="dxa" w:w="60"/>
              <w:left w:type="dxa" w:w="110"/>
              <w:bottom w:type="dxa" w:w="60"/>
              <w:right w:type="dxa" w:w="110"/>
            </w:tcMar>
            <w:vAlign w:val="top"/>
          </w:tcPr>
          <w:p>
            <w:r>
              <w:rPr>
                <w:rFonts w:ascii="Arial" w:cs="Arial" w:eastAsia="Arial" w:hAnsi="Arial"/>
                <w:b/>
                <w:bCs/>
                <w:caps/>
                <w:color w:val="FFFFFF"/>
                <w:sz w:val="19"/>
                <w:szCs w:val="19"/>
              </w:rPr>
              <w:t xml:space="preserve">Le bailleur</w:t>
            </w:r>
          </w:p>
        </w:tc>
        <w:tc>
          <w:tcPr>
            <w:tcW w:type="dxa" w:w="4850"/>
            <w:tcBorders>
              <w:top w:val="single" w:color="C9D2DC" w:sz="2"/>
              <w:left w:val="single" w:color="C9D2DC" w:sz="2"/>
              <w:bottom w:val="single" w:color="C9D2DC" w:sz="2"/>
              <w:right w:val="single" w:color="C9D2DC" w:sz="2"/>
            </w:tcBorders>
            <w:shd w:fill="1F3B57" w:val="clear"/>
            <w:tcMar>
              <w:top w:type="dxa" w:w="60"/>
              <w:left w:type="dxa" w:w="110"/>
              <w:bottom w:type="dxa" w:w="60"/>
              <w:right w:type="dxa" w:w="110"/>
            </w:tcMar>
            <w:vAlign w:val="top"/>
          </w:tcPr>
          <w:p>
            <w:r>
              <w:rPr>
                <w:rFonts w:ascii="Arial" w:cs="Arial" w:eastAsia="Arial" w:hAnsi="Arial"/>
                <w:b/>
                <w:bCs/>
                <w:caps/>
                <w:color w:val="FFFFFF"/>
                <w:sz w:val="19"/>
                <w:szCs w:val="19"/>
              </w:rPr>
              <w:t xml:space="preserve">Le preneur</w:t>
            </w:r>
          </w:p>
        </w:tc>
      </w:tr>
      <w:tr>
        <w:tc>
          <w:tcPr>
            <w:tcW w:type="dxa" w:w="485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pPr>
              <w:spacing w:after="40"/>
            </w:pPr>
            <w:r>
              <w:rPr>
                <w:rFonts w:ascii="Arial" w:cs="Arial" w:eastAsia="Arial" w:hAnsi="Arial"/>
                <w:b/>
                <w:bCs/>
                <w:color w:val="1C1C1C"/>
                <w:sz w:val="21"/>
                <w:szCs w:val="21"/>
              </w:rPr>
              <w:t xml:space="preserve">{{bailleur.nom}}</w:t>
            </w:r>
          </w:p>
          <w:p>
            <w:pPr>
              <w:spacing w:after="40"/>
            </w:pPr>
            <w:r>
              <w:rPr>
                <w:rFonts w:ascii="Arial" w:cs="Arial" w:eastAsia="Arial" w:hAnsi="Arial"/>
                <w:color w:val="1C1C1C"/>
                <w:sz w:val="21"/>
                <w:szCs w:val="21"/>
              </w:rPr>
              <w:t xml:space="preserve">Identité / n° d'entreprise : </w:t>
            </w:r>
            <w:r>
              <w:rPr>
                <w:rFonts w:ascii="Arial" w:cs="Arial" w:eastAsia="Arial" w:hAnsi="Arial"/>
                <w:b/>
                <w:bCs/>
                <w:color w:val="1C1C1C"/>
                <w:sz w:val="21"/>
                <w:szCs w:val="21"/>
              </w:rPr>
              <w:t xml:space="preserve">{{bailleur.naissance}}</w:t>
            </w:r>
          </w:p>
          <w:p>
            <w:pPr>
              <w:spacing w:after="40"/>
            </w:pPr>
            <w:r>
              <w:rPr>
                <w:rFonts w:ascii="Arial" w:cs="Arial" w:eastAsia="Arial" w:hAnsi="Arial"/>
                <w:color w:val="1C1C1C"/>
                <w:sz w:val="21"/>
                <w:szCs w:val="21"/>
              </w:rPr>
              <w:t xml:space="preserve">Domicilié(e) à </w:t>
            </w:r>
            <w:r>
              <w:rPr>
                <w:rFonts w:ascii="Arial" w:cs="Arial" w:eastAsia="Arial" w:hAnsi="Arial"/>
                <w:b/>
                <w:bCs/>
                <w:color w:val="1C1C1C"/>
                <w:sz w:val="21"/>
                <w:szCs w:val="21"/>
              </w:rPr>
              <w:t xml:space="preserve">{{bailleur.adresse}}</w:t>
            </w:r>
          </w:p>
          <w:p>
            <w:pPr>
              <w:spacing w:after="40"/>
            </w:pPr>
            <w:r>
              <w:rPr>
                <w:rFonts w:ascii="Arial" w:cs="Arial" w:eastAsia="Arial" w:hAnsi="Arial"/>
                <w:color w:val="1C1C1C"/>
                <w:sz w:val="21"/>
                <w:szCs w:val="21"/>
              </w:rPr>
              <w:t xml:space="preserve">Compte bancaire : </w:t>
            </w:r>
            <w:r>
              <w:rPr>
                <w:rFonts w:ascii="Arial" w:cs="Arial" w:eastAsia="Arial" w:hAnsi="Arial"/>
                <w:b/>
                <w:bCs/>
                <w:color w:val="1C1C1C"/>
                <w:sz w:val="21"/>
                <w:szCs w:val="21"/>
              </w:rPr>
              <w:t xml:space="preserve">{{bailleur.iban}}</w:t>
            </w:r>
            <w:r>
              <w:rPr>
                <w:rFonts w:ascii="Arial" w:cs="Arial" w:eastAsia="Arial" w:hAnsi="Arial"/>
                <w:color w:val="1C1C1C"/>
                <w:sz w:val="21"/>
                <w:szCs w:val="21"/>
              </w:rPr>
              <w:t xml:space="preserve">  ·  BIC </w:t>
            </w:r>
            <w:r>
              <w:rPr>
                <w:rFonts w:ascii="Arial" w:cs="Arial" w:eastAsia="Arial" w:hAnsi="Arial"/>
                <w:b/>
                <w:bCs/>
                <w:color w:val="1C1C1C"/>
                <w:sz w:val="21"/>
                <w:szCs w:val="21"/>
              </w:rPr>
              <w:t xml:space="preserve">{{bailleur.bic}}</w:t>
            </w:r>
          </w:p>
          <w:p>
            <w:pPr>
              <w:spacing w:before="30"/>
            </w:pPr>
            <w:r>
              <w:rPr>
                <w:rFonts w:ascii="Arial" w:cs="Arial" w:eastAsia="Arial" w:hAnsi="Arial"/>
                <w:i/>
                <w:iCs/>
                <w:color w:val="5B6573"/>
                <w:sz w:val="18"/>
                <w:szCs w:val="18"/>
              </w:rPr>
              <w:t xml:space="preserve">Ci-après dénommé(e) « le bailleur ».</w:t>
            </w:r>
          </w:p>
        </w:tc>
        <w:tc>
          <w:tcPr>
            <w:tcW w:type="dxa" w:w="485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pPr>
              <w:spacing w:after="40"/>
            </w:pPr>
            <w:r>
              <w:rPr>
                <w:rFonts w:ascii="Arial" w:cs="Arial" w:eastAsia="Arial" w:hAnsi="Arial"/>
                <w:b/>
                <w:bCs/>
                <w:color w:val="1C1C1C"/>
                <w:sz w:val="21"/>
                <w:szCs w:val="21"/>
              </w:rPr>
              <w:t xml:space="preserve">{{loc.civilite}}</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{{loc.prenom}}</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{{loc.nom}}</w:t>
            </w:r>
          </w:p>
          <w:p>
            <w:pPr>
              <w:spacing w:after="40"/>
            </w:pPr>
            <w:r>
              <w:rPr>
                <w:rFonts w:ascii="Arial" w:cs="Arial" w:eastAsia="Arial" w:hAnsi="Arial"/>
                <w:color w:val="1C1C1C"/>
                <w:sz w:val="21"/>
                <w:szCs w:val="21"/>
              </w:rPr>
              <w:t xml:space="preserve">Né(e) le </w:t>
            </w:r>
            <w:r>
              <w:rPr>
                <w:rFonts w:ascii="Arial" w:cs="Arial" w:eastAsia="Arial" w:hAnsi="Arial"/>
                <w:b/>
                <w:bCs/>
                <w:color w:val="1C1C1C"/>
                <w:sz w:val="21"/>
                <w:szCs w:val="21"/>
              </w:rPr>
              <w:t xml:space="preserve">{{loc.dateNaissance}}</w:t>
            </w:r>
            <w:r>
              <w:rPr>
                <w:rFonts w:ascii="Arial" w:cs="Arial" w:eastAsia="Arial" w:hAnsi="Arial"/>
                <w:color w:val="1C1C1C"/>
                <w:sz w:val="21"/>
                <w:szCs w:val="21"/>
              </w:rPr>
              <w:t xml:space="preserve"> à </w:t>
            </w:r>
            <w:r>
              <w:rPr>
                <w:rFonts w:ascii="Arial" w:cs="Arial" w:eastAsia="Arial" w:hAnsi="Arial"/>
                <w:b/>
                <w:bCs/>
                <w:color w:val="1C1C1C"/>
                <w:sz w:val="21"/>
                <w:szCs w:val="21"/>
              </w:rPr>
              <w:t xml:space="preserve">{{loc.lieuNaissance}}</w:t>
            </w:r>
          </w:p>
          <w:p>
            <w:pPr>
              <w:spacing w:after="40"/>
            </w:pPr>
            <w:r>
              <w:rPr>
                <w:rFonts w:ascii="Arial" w:cs="Arial" w:eastAsia="Arial" w:hAnsi="Arial"/>
                <w:color w:val="1C1C1C"/>
                <w:sz w:val="21"/>
                <w:szCs w:val="21"/>
              </w:rPr>
              <w:t xml:space="preserve">Domicilié(e) à </w:t>
            </w:r>
            <w:r>
              <w:rPr>
                <w:rFonts w:ascii="Arial" w:cs="Arial" w:eastAsia="Arial" w:hAnsi="Arial"/>
                <w:b/>
                <w:bCs/>
                <w:color w:val="1C1C1C"/>
                <w:sz w:val="21"/>
                <w:szCs w:val="21"/>
              </w:rPr>
              <w:t xml:space="preserve">{{loc.adresse}}</w:t>
            </w:r>
          </w:p>
          <w:p>
            <w:pPr>
              <w:spacing w:after="40"/>
            </w:pPr>
            <w:r>
              <w:rPr>
                <w:rFonts w:ascii="Arial" w:cs="Arial" w:eastAsia="Arial" w:hAnsi="Arial"/>
                <w:color w:val="1C1C1C"/>
                <w:sz w:val="21"/>
                <w:szCs w:val="21"/>
              </w:rPr>
              <w:t xml:space="preserve">Tél. </w:t>
            </w:r>
            <w:r>
              <w:rPr>
                <w:rFonts w:ascii="Arial" w:cs="Arial" w:eastAsia="Arial" w:hAnsi="Arial"/>
                <w:b/>
                <w:bCs/>
                <w:color w:val="1C1C1C"/>
                <w:sz w:val="21"/>
                <w:szCs w:val="21"/>
              </w:rPr>
              <w:t xml:space="preserve">{{loc.tel}}</w:t>
            </w:r>
            <w:r>
              <w:rPr>
                <w:rFonts w:ascii="Arial" w:cs="Arial" w:eastAsia="Arial" w:hAnsi="Arial"/>
                <w:color w:val="1C1C1C"/>
                <w:sz w:val="21"/>
                <w:szCs w:val="21"/>
              </w:rPr>
              <w:t xml:space="preserve">  ·  </w:t>
            </w:r>
            <w:r>
              <w:rPr>
                <w:rFonts w:ascii="Arial" w:cs="Arial" w:eastAsia="Arial" w:hAnsi="Arial"/>
                <w:b/>
                <w:bCs/>
                <w:color w:val="1C1C1C"/>
                <w:sz w:val="21"/>
                <w:szCs w:val="21"/>
              </w:rPr>
              <w:t xml:space="preserve">{{loc.email}}</w:t>
            </w:r>
          </w:p>
          <w:p>
            <w:pPr>
              <w:spacing w:after="40"/>
            </w:pPr>
            <w:r>
              <w:rPr>
                <w:rFonts w:ascii="Arial" w:cs="Arial" w:eastAsia="Arial" w:hAnsi="Arial"/>
                <w:color w:val="1C1C1C"/>
                <w:sz w:val="21"/>
                <w:szCs w:val="21"/>
              </w:rPr>
              <w:t xml:space="preserve">Personne à prévenir : </w:t>
            </w:r>
            <w:r>
              <w:rPr>
                <w:rFonts w:ascii="Arial" w:cs="Arial" w:eastAsia="Arial" w:hAnsi="Arial"/>
                <w:b/>
                <w:bCs/>
                <w:color w:val="1C1C1C"/>
                <w:sz w:val="21"/>
                <w:szCs w:val="21"/>
              </w:rPr>
              <w:t xml:space="preserve">{{loc.contactUrgence}}</w:t>
            </w:r>
          </w:p>
          <w:p>
            <w:pPr>
              <w:spacing w:before="30"/>
            </w:pPr>
            <w:r>
              <w:rPr>
                <w:rFonts w:ascii="Arial" w:cs="Arial" w:eastAsia="Arial" w:hAnsi="Arial"/>
                <w:i/>
                <w:iCs/>
                <w:color w:val="5B6573"/>
                <w:sz w:val="18"/>
                <w:szCs w:val="18"/>
              </w:rPr>
              <w:t xml:space="preserve">Ci-après dénommé(e) « le preneur ».</w:t>
            </w:r>
          </w:p>
        </w:tc>
      </w:tr>
    </w:tbl>
    <w:p>
      <w:pPr>
        <w:spacing w:after="60" w:before="120"/>
      </w:pPr>
      <w:r>
        <w:rPr>
          <w:rFonts w:ascii="Arial" w:cs="Arial" w:eastAsia="Arial" w:hAnsi="Arial"/>
          <w:b/>
          <w:bCs/>
          <w:color w:val="1F3B57"/>
          <w:sz w:val="20"/>
          <w:szCs w:val="20"/>
        </w:rPr>
        <w:t xml:space="preserve">IL A ÉTÉ CONVENU CE QUI SUIT :</w:t>
      </w:r>
    </w:p>
    <w:p>
      <w:pPr>
        <w:pBdr>
          <w:bottom w:val="single" w:color="C9D2DC" w:sz="4" w:space="3"/>
        </w:pBdr>
        <w:spacing w:after="80" w:before="180"/>
      </w:pPr>
      <w:r>
        <w:rPr>
          <w:rFonts w:ascii="Arial" w:cs="Arial" w:eastAsia="Arial" w:hAnsi="Arial"/>
          <w:b/>
          <w:bCs/>
          <w:color w:val="33597F"/>
          <w:sz w:val="19"/>
          <w:szCs w:val="19"/>
        </w:rPr>
        <w:t xml:space="preserve">Article 1</w:t>
      </w:r>
      <w:r>
        <w:rPr>
          <w:rFonts w:ascii="Arial" w:cs="Arial" w:eastAsia="Arial" w:hAnsi="Arial"/>
          <w:b/>
          <w:bCs/>
          <w:color w:val="1F3B57"/>
          <w:sz w:val="21"/>
          <w:szCs w:val="21"/>
        </w:rPr>
        <w:t xml:space="preserve">   Objet du bail</w:t>
      </w:r>
    </w:p>
    <w:p>
      <w:pPr>
        <w:spacing w:after="100" w:line="252"/>
        <w:jc w:val="both"/>
      </w:pPr>
      <w:r>
        <w:rPr>
          <w:rFonts w:ascii="Arial" w:cs="Arial" w:eastAsia="Arial" w:hAnsi="Arial"/>
          <w:color w:val="1C1C1C"/>
          <w:sz w:val="21"/>
          <w:szCs w:val="21"/>
        </w:rPr>
        <w:t xml:space="preserve">Le bailleur donne en location au preneur, qui accepte, le bien d'habitation situé à </w:t>
      </w:r>
      <w:r>
        <w:rPr>
          <w:rFonts w:ascii="Arial" w:cs="Arial" w:eastAsia="Arial" w:hAnsi="Arial"/>
          <w:b/>
          <w:bCs/>
          <w:color w:val="1C1C1C"/>
          <w:sz w:val="21"/>
          <w:szCs w:val="21"/>
        </w:rPr>
        <w:t xml:space="preserve">{{lgt.adresse}}</w:t>
      </w:r>
      <w:r>
        <w:rPr>
          <w:rFonts w:ascii="Arial" w:cs="Arial" w:eastAsia="Arial" w:hAnsi="Arial"/>
          <w:color w:val="1C1C1C"/>
          <w:sz w:val="21"/>
          <w:szCs w:val="21"/>
        </w:rPr>
        <w:t xml:space="preserve">.</w:t>
      </w:r>
    </w:p>
    <w:p>
      <w:pPr>
        <w:spacing w:after="100" w:line="252"/>
        <w:jc w:val="both"/>
      </w:pPr>
      <w:r>
        <w:rPr>
          <w:rFonts w:ascii="Arial" w:cs="Arial" w:eastAsia="Arial" w:hAnsi="Arial"/>
          <w:color w:val="1C1C1C"/>
          <w:sz w:val="21"/>
          <w:szCs w:val="21"/>
        </w:rPr>
        <w:t xml:space="preserve">Le bien loué comprend : </w:t>
      </w:r>
      <w:r>
        <w:rPr>
          <w:rFonts w:ascii="Arial" w:cs="Arial" w:eastAsia="Arial" w:hAnsi="Arial"/>
          <w:b/>
          <w:bCs/>
          <w:color w:val="1C1C1C"/>
          <w:sz w:val="21"/>
          <w:szCs w:val="21"/>
        </w:rPr>
        <w:t xml:space="preserve">{{lgt.contenu}}</w:t>
      </w:r>
      <w:r>
        <w:rPr>
          <w:rFonts w:ascii="Arial" w:cs="Arial" w:eastAsia="Arial" w:hAnsi="Arial"/>
          <w:color w:val="1C1C1C"/>
          <w:sz w:val="21"/>
          <w:szCs w:val="21"/>
        </w:rPr>
        <w:t xml:space="preserve">. Il est destiné à être occupé avec ses dépendances, équipements et accessoires tels que décrits à l'état des lieux d'entrée annexé.</w:t>
      </w:r>
    </w:p>
    <w:p>
      <w:pPr>
        <w:spacing w:after="100" w:line="252"/>
        <w:jc w:val="both"/>
      </w:pPr>
      <w:r>
        <w:rPr>
          <w:rFonts w:ascii="Arial" w:cs="Arial" w:eastAsia="Arial" w:hAnsi="Arial"/>
          <w:color w:val="1C1C1C"/>
          <w:sz w:val="21"/>
          <w:szCs w:val="21"/>
        </w:rPr>
        <w:t xml:space="preserve">L'existence de compteurs individuels ou collectifs desservant le bien est constatée à l'état des lieux. Le preneur reconnaît avoir reçu le bien dans l'état qui y est décrit.</w:t>
      </w:r>
    </w:p>
    <w:p>
      <w:pPr>
        <w:pBdr>
          <w:bottom w:val="single" w:color="C9D2DC" w:sz="4" w:space="3"/>
        </w:pBdr>
        <w:spacing w:after="80" w:before="180"/>
      </w:pPr>
      <w:r>
        <w:rPr>
          <w:rFonts w:ascii="Arial" w:cs="Arial" w:eastAsia="Arial" w:hAnsi="Arial"/>
          <w:b/>
          <w:bCs/>
          <w:color w:val="33597F"/>
          <w:sz w:val="19"/>
          <w:szCs w:val="19"/>
        </w:rPr>
        <w:t xml:space="preserve">Article 2</w:t>
      </w:r>
      <w:r>
        <w:rPr>
          <w:rFonts w:ascii="Arial" w:cs="Arial" w:eastAsia="Arial" w:hAnsi="Arial"/>
          <w:b/>
          <w:bCs/>
          <w:color w:val="1F3B57"/>
          <w:sz w:val="21"/>
          <w:szCs w:val="21"/>
        </w:rPr>
        <w:t xml:space="preserve">   Destination des lieux</w:t>
      </w:r>
    </w:p>
    <w:p>
      <w:pPr>
        <w:spacing w:after="100" w:line="252"/>
        <w:jc w:val="both"/>
      </w:pPr>
      <w:r>
        <w:rPr>
          <w:rFonts w:ascii="Arial" w:cs="Arial" w:eastAsia="Arial" w:hAnsi="Arial"/>
          <w:color w:val="1C1C1C"/>
          <w:sz w:val="21"/>
          <w:szCs w:val="21"/>
        </w:rPr>
        <w:t xml:space="preserve">Le bien est affecté exclusivement à la résidence principale du preneur. Toute autre affectation, même partielle, ainsi que l'exercice d'une activité professionnelle, requièrent l'accord écrit et préalable du bailleur.</w:t>
      </w:r>
    </w:p>
    <w:p>
      <w:pPr>
        <w:spacing w:after="100" w:line="252"/>
        <w:jc w:val="both"/>
      </w:pPr>
      <w:r>
        <w:rPr>
          <w:rFonts w:ascii="Arial" w:cs="Arial" w:eastAsia="Arial" w:hAnsi="Arial"/>
          <w:color w:val="1C1C1C"/>
          <w:sz w:val="21"/>
          <w:szCs w:val="21"/>
        </w:rPr>
        <w:t xml:space="preserve">Le preneur fait inscrire sa résidence principale à l'adresse du bien auprès de l'administration communale.</w:t>
      </w:r>
    </w:p>
    <w:p>
      <w:pPr>
        <w:pBdr>
          <w:bottom w:val="single" w:color="C9D2DC" w:sz="4" w:space="3"/>
        </w:pBdr>
        <w:spacing w:after="80" w:before="180"/>
      </w:pPr>
      <w:r>
        <w:rPr>
          <w:rFonts w:ascii="Arial" w:cs="Arial" w:eastAsia="Arial" w:hAnsi="Arial"/>
          <w:b/>
          <w:bCs/>
          <w:color w:val="33597F"/>
          <w:sz w:val="19"/>
          <w:szCs w:val="19"/>
        </w:rPr>
        <w:t xml:space="preserve">Article 3</w:t>
      </w:r>
      <w:r>
        <w:rPr>
          <w:rFonts w:ascii="Arial" w:cs="Arial" w:eastAsia="Arial" w:hAnsi="Arial"/>
          <w:b/>
          <w:bCs/>
          <w:color w:val="1F3B57"/>
          <w:sz w:val="21"/>
          <w:szCs w:val="21"/>
        </w:rPr>
        <w:t xml:space="preserve">   Durée et prise de cours</w:t>
      </w:r>
    </w:p>
    <w:p>
      <w:pPr>
        <w:spacing w:after="100" w:line="252"/>
        <w:jc w:val="both"/>
      </w:pPr>
      <w:r>
        <w:rPr>
          <w:rFonts w:ascii="Arial" w:cs="Arial" w:eastAsia="Arial" w:hAnsi="Arial"/>
          <w:color w:val="1C1C1C"/>
          <w:sz w:val="21"/>
          <w:szCs w:val="21"/>
        </w:rPr>
        <w:t xml:space="preserve">Le bail est conclu pour une durée de </w:t>
      </w:r>
      <w:r>
        <w:rPr>
          <w:rFonts w:ascii="Arial" w:cs="Arial" w:eastAsia="Arial" w:hAnsi="Arial"/>
          <w:b/>
          <w:bCs/>
          <w:color w:val="1C1C1C"/>
          <w:sz w:val="21"/>
          <w:szCs w:val="21"/>
        </w:rPr>
        <w:t xml:space="preserve">{{bail.dureeMois}}</w:t>
      </w:r>
      <w:r>
        <w:rPr>
          <w:rFonts w:ascii="Arial" w:cs="Arial" w:eastAsia="Arial" w:hAnsi="Arial"/>
          <w:color w:val="1C1C1C"/>
          <w:sz w:val="21"/>
          <w:szCs w:val="21"/>
        </w:rPr>
        <w:t xml:space="preserve"> mois. Il prend cours le </w:t>
      </w:r>
      <w:r>
        <w:rPr>
          <w:rFonts w:ascii="Arial" w:cs="Arial" w:eastAsia="Arial" w:hAnsi="Arial"/>
          <w:b/>
          <w:bCs/>
          <w:color w:val="1C1C1C"/>
          <w:sz w:val="21"/>
          <w:szCs w:val="21"/>
        </w:rPr>
        <w:t xml:space="preserve">{{bail.dateDebut}}</w:t>
      </w:r>
      <w:r>
        <w:rPr>
          <w:rFonts w:ascii="Arial" w:cs="Arial" w:eastAsia="Arial" w:hAnsi="Arial"/>
          <w:color w:val="1C1C1C"/>
          <w:sz w:val="21"/>
          <w:szCs w:val="21"/>
        </w:rPr>
        <w:t xml:space="preserve"> et se termine le </w:t>
      </w:r>
      <w:r>
        <w:rPr>
          <w:rFonts w:ascii="Arial" w:cs="Arial" w:eastAsia="Arial" w:hAnsi="Arial"/>
          <w:b/>
          <w:bCs/>
          <w:color w:val="1C1C1C"/>
          <w:sz w:val="21"/>
          <w:szCs w:val="21"/>
        </w:rPr>
        <w:t xml:space="preserve">{{bail.dateFin}}</w:t>
      </w:r>
      <w:r>
        <w:rPr>
          <w:rFonts w:ascii="Arial" w:cs="Arial" w:eastAsia="Arial" w:hAnsi="Arial"/>
          <w:color w:val="1C1C1C"/>
          <w:sz w:val="21"/>
          <w:szCs w:val="21"/>
        </w:rPr>
        <w:t xml:space="preserve">.</w:t>
      </w:r>
    </w:p>
    <w:p>
      <w:pPr>
        <w:spacing w:after="100" w:line="252"/>
        <w:jc w:val="both"/>
      </w:pPr>
      <w:r>
        <w:rPr>
          <w:rFonts w:ascii="Arial" w:cs="Arial" w:eastAsia="Arial" w:hAnsi="Arial"/>
          <w:color w:val="1C1C1C"/>
          <w:sz w:val="21"/>
          <w:szCs w:val="21"/>
        </w:rPr>
        <w:t xml:space="preserve">Le bail de neuf ans prend fin à son terme moyennant un congé notifié par l'une ou l'autre partie six mois au moins avant l'échéance ; à défaut, il est prorogé aux mêmes conditions pour trois ans. Les facultés de résiliation anticipée prévues par le décret restent applicables. Tout congé est notifié par lettre recommandée, par exploit d'huissier ou par écrit dont la réception est contresignée par l'autre partie.</w:t>
      </w:r>
    </w:p>
    <w:p>
      <w:pPr>
        <w:pBdr>
          <w:bottom w:val="single" w:color="C9D2DC" w:sz="4" w:space="3"/>
        </w:pBdr>
        <w:spacing w:after="80" w:before="180"/>
      </w:pPr>
      <w:r>
        <w:rPr>
          <w:rFonts w:ascii="Arial" w:cs="Arial" w:eastAsia="Arial" w:hAnsi="Arial"/>
          <w:b/>
          <w:bCs/>
          <w:color w:val="33597F"/>
          <w:sz w:val="19"/>
          <w:szCs w:val="19"/>
        </w:rPr>
        <w:t xml:space="preserve">Article 4</w:t>
      </w:r>
      <w:r>
        <w:rPr>
          <w:rFonts w:ascii="Arial" w:cs="Arial" w:eastAsia="Arial" w:hAnsi="Arial"/>
          <w:b/>
          <w:bCs/>
          <w:color w:val="1F3B57"/>
          <w:sz w:val="21"/>
          <w:szCs w:val="21"/>
        </w:rPr>
        <w:t xml:space="preserve">   Loyer et modalités de paiement</w:t>
      </w:r>
    </w:p>
    <w:p>
      <w:pPr>
        <w:spacing w:after="100" w:line="252"/>
        <w:jc w:val="both"/>
      </w:pPr>
      <w:r>
        <w:rPr>
          <w:rFonts w:ascii="Arial" w:cs="Arial" w:eastAsia="Arial" w:hAnsi="Arial"/>
          <w:color w:val="1C1C1C"/>
          <w:sz w:val="21"/>
          <w:szCs w:val="21"/>
        </w:rPr>
        <w:t xml:space="preserve">Le loyer mensuel est fixé à </w:t>
      </w:r>
      <w:r>
        <w:rPr>
          <w:rFonts w:ascii="Arial" w:cs="Arial" w:eastAsia="Arial" w:hAnsi="Arial"/>
          <w:b/>
          <w:bCs/>
          <w:color w:val="1C1C1C"/>
          <w:sz w:val="21"/>
          <w:szCs w:val="21"/>
        </w:rPr>
        <w:t xml:space="preserve">{{bail.loyer}}</w:t>
      </w:r>
      <w:r>
        <w:rPr>
          <w:rFonts w:ascii="Arial" w:cs="Arial" w:eastAsia="Arial" w:hAnsi="Arial"/>
          <w:color w:val="1C1C1C"/>
          <w:sz w:val="21"/>
          <w:szCs w:val="21"/>
        </w:rPr>
        <w:t xml:space="preserve"> EUR (</w:t>
      </w:r>
      <w:r>
        <w:rPr>
          <w:rFonts w:ascii="Arial" w:cs="Arial" w:eastAsia="Arial" w:hAnsi="Arial"/>
          <w:b/>
          <w:bCs/>
          <w:color w:val="1C1C1C"/>
          <w:sz w:val="21"/>
          <w:szCs w:val="21"/>
        </w:rPr>
        <w:t xml:space="preserve">{{bail.loyerLettres}}</w:t>
      </w:r>
      <w:r>
        <w:rPr>
          <w:rFonts w:ascii="Arial" w:cs="Arial" w:eastAsia="Arial" w:hAnsi="Arial"/>
          <w:color w:val="1C1C1C"/>
          <w:sz w:val="21"/>
          <w:szCs w:val="21"/>
        </w:rPr>
        <w:t xml:space="preserve">). Le régime des charges est précisé à l'Article 6.</w:t>
      </w:r>
    </w:p>
    <w:p>
      <w:pPr>
        <w:spacing w:after="100" w:line="252"/>
        <w:jc w:val="both"/>
      </w:pPr>
      <w:r>
        <w:rPr>
          <w:rFonts w:ascii="Arial" w:cs="Arial" w:eastAsia="Arial" w:hAnsi="Arial"/>
          <w:color w:val="1C1C1C"/>
          <w:sz w:val="21"/>
          <w:szCs w:val="21"/>
        </w:rPr>
        <w:t xml:space="preserve">Le loyer est payable par anticipation, au plus tard le </w:t>
      </w:r>
      <w:r>
        <w:rPr>
          <w:rFonts w:ascii="Arial" w:cs="Arial" w:eastAsia="Arial" w:hAnsi="Arial"/>
          <w:b/>
          <w:bCs/>
          <w:color w:val="1C1C1C"/>
          <w:sz w:val="21"/>
          <w:szCs w:val="21"/>
        </w:rPr>
        <w:t xml:space="preserve">{{bail.jourPaiement}}</w:t>
      </w:r>
      <w:r>
        <w:rPr>
          <w:rFonts w:ascii="Arial" w:cs="Arial" w:eastAsia="Arial" w:hAnsi="Arial"/>
          <w:color w:val="1C1C1C"/>
          <w:sz w:val="21"/>
          <w:szCs w:val="21"/>
        </w:rPr>
        <w:t xml:space="preserve"> de chaque mois, par virement sur le compte </w:t>
      </w:r>
      <w:r>
        <w:rPr>
          <w:rFonts w:ascii="Arial" w:cs="Arial" w:eastAsia="Arial" w:hAnsi="Arial"/>
          <w:b/>
          <w:bCs/>
          <w:color w:val="1C1C1C"/>
          <w:sz w:val="21"/>
          <w:szCs w:val="21"/>
        </w:rPr>
        <w:t xml:space="preserve">{{bailleur.iban}}</w:t>
      </w:r>
      <w:r>
        <w:rPr>
          <w:rFonts w:ascii="Arial" w:cs="Arial" w:eastAsia="Arial" w:hAnsi="Arial"/>
          <w:color w:val="1C1C1C"/>
          <w:sz w:val="21"/>
          <w:szCs w:val="21"/>
        </w:rPr>
        <w:t xml:space="preserve"> ouvert au nom du bailleur. Le défaut de paiement à l'échéance constitue un manquement contractuel.</w:t>
      </w:r>
    </w:p>
    <w:p>
      <w:pPr>
        <w:pBdr>
          <w:bottom w:val="single" w:color="C9D2DC" w:sz="4" w:space="3"/>
        </w:pBdr>
        <w:spacing w:after="80" w:before="180"/>
      </w:pPr>
      <w:r>
        <w:rPr>
          <w:rFonts w:ascii="Arial" w:cs="Arial" w:eastAsia="Arial" w:hAnsi="Arial"/>
          <w:b/>
          <w:bCs/>
          <w:color w:val="33597F"/>
          <w:sz w:val="19"/>
          <w:szCs w:val="19"/>
        </w:rPr>
        <w:t xml:space="preserve">Article 5</w:t>
      </w:r>
      <w:r>
        <w:rPr>
          <w:rFonts w:ascii="Arial" w:cs="Arial" w:eastAsia="Arial" w:hAnsi="Arial"/>
          <w:b/>
          <w:bCs/>
          <w:color w:val="1F3B57"/>
          <w:sz w:val="21"/>
          <w:szCs w:val="21"/>
        </w:rPr>
        <w:t xml:space="preserve">   Indexation du loyer</w:t>
      </w:r>
    </w:p>
    <w:p>
      <w:pPr>
        <w:spacing w:after="100" w:line="252"/>
        <w:jc w:val="both"/>
      </w:pPr>
      <w:r>
        <w:rPr>
          <w:rFonts w:ascii="Arial" w:cs="Arial" w:eastAsia="Arial" w:hAnsi="Arial"/>
          <w:color w:val="1C1C1C"/>
          <w:sz w:val="21"/>
          <w:szCs w:val="21"/>
        </w:rPr>
        <w:t xml:space="preserve">Le loyer peut être adapté au coût de la vie une seule fois par an, au plus tôt à la date anniversaire de l'entrée en vigueur du bail, selon la formule légale :</w:t>
      </w:r>
    </w:p>
    <w:p>
      <w:pPr>
        <w:spacing w:after="80" w:line="252"/>
        <w:jc w:val="center"/>
      </w:pPr>
      <w:r>
        <w:rPr>
          <w:rFonts w:ascii="Arial" w:cs="Arial" w:eastAsia="Arial" w:hAnsi="Arial"/>
          <w:i/>
          <w:iCs/>
          <w:color w:val="5B6573"/>
          <w:sz w:val="20"/>
          <w:szCs w:val="20"/>
        </w:rPr>
        <w:t xml:space="preserve">loyer de base × indice santé du mois précédant l'anniversaire ÷ indice santé du mois précédant la conclusion du bail.</w:t>
      </w:r>
    </w:p>
    <w:p>
      <w:pPr>
        <w:spacing w:after="100" w:line="252"/>
        <w:jc w:val="both"/>
      </w:pPr>
      <w:r>
        <w:rPr>
          <w:rFonts w:ascii="Arial" w:cs="Arial" w:eastAsia="Arial" w:hAnsi="Arial"/>
          <w:color w:val="1C1C1C"/>
          <w:sz w:val="21"/>
          <w:szCs w:val="21"/>
        </w:rPr>
        <w:t xml:space="preserve">L'indexation n'est pas automatique : elle est demandée par écrit et ne produit ses effets que pour les trois mois précédant la demande. Elle suppose que le bail ait été enregistré.</w:t>
      </w:r>
    </w:p>
    <w:p>
      <w:pPr>
        <w:pBdr>
          <w:bottom w:val="single" w:color="C9D2DC" w:sz="4" w:space="3"/>
        </w:pBdr>
        <w:spacing w:after="80" w:before="180"/>
      </w:pPr>
      <w:r>
        <w:rPr>
          <w:rFonts w:ascii="Arial" w:cs="Arial" w:eastAsia="Arial" w:hAnsi="Arial"/>
          <w:b/>
          <w:bCs/>
          <w:color w:val="33597F"/>
          <w:sz w:val="19"/>
          <w:szCs w:val="19"/>
        </w:rPr>
        <w:t xml:space="preserve">Article 6</w:t>
      </w:r>
      <w:r>
        <w:rPr>
          <w:rFonts w:ascii="Arial" w:cs="Arial" w:eastAsia="Arial" w:hAnsi="Arial"/>
          <w:b/>
          <w:bCs/>
          <w:color w:val="1F3B57"/>
          <w:sz w:val="21"/>
          <w:szCs w:val="21"/>
        </w:rPr>
        <w:t xml:space="preserve">   Charges</w:t>
      </w:r>
    </w:p>
    <w:p>
      <w:pPr>
        <w:spacing w:after="70" w:line="252"/>
        <w:jc w:val="both"/>
      </w:pPr>
      <w:r>
        <w:rPr>
          <w:rFonts w:ascii="Arial" w:cs="Arial" w:eastAsia="Arial" w:hAnsi="Arial"/>
          <w:color w:val="1C1C1C"/>
          <w:sz w:val="21"/>
          <w:szCs w:val="21"/>
        </w:rPr>
        <w:t xml:space="preserve">Le régime des charges applicable au présent bail est celui coché ci-dessous.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pPr>
              <w:spacing w:after="30" w:line="252"/>
            </w:pPr>
            <w:r>
              <w:rPr>
                <w:rFonts w:ascii="Arial" w:cs="Arial" w:eastAsia="Arial" w:hAnsi="Arial"/>
                <w:b/>
                <w:bCs/>
                <w:color w:val="1F3B57"/>
                <w:sz w:val="26"/>
                <w:szCs w:val="26"/>
              </w:rPr>
              <w:t xml:space="preserve">{{bail.chkChargesIncl}}</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Charges comprises dans le loyer </w:t>
            </w:r>
            <w:r>
              <w:rPr>
                <w:rFonts w:ascii="Arial" w:cs="Arial" w:eastAsia="Arial" w:hAnsi="Arial"/>
                <w:color w:val="1C1C1C"/>
                <w:sz w:val="21"/>
                <w:szCs w:val="21"/>
              </w:rPr>
              <w:t xml:space="preserve">— le loyer fixé à l'Article 4 est forfaitaire ; il couvre l'ensemble des charges communes et privatives. Aucune provision ni régularisation n'est due.</w:t>
            </w:r>
          </w:p>
        </w:tc>
      </w:tr>
      <w:t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pPr>
              <w:spacing w:after="30" w:line="252"/>
            </w:pPr>
            <w:r>
              <w:rPr>
                <w:rFonts w:ascii="Arial" w:cs="Arial" w:eastAsia="Arial" w:hAnsi="Arial"/>
                <w:b/>
                <w:bCs/>
                <w:color w:val="1F3B57"/>
                <w:sz w:val="26"/>
                <w:szCs w:val="26"/>
              </w:rPr>
              <w:t xml:space="preserve">{{bail.chkChargesSus}}</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Charges en sus du loyer </w:t>
            </w:r>
            <w:r>
              <w:rPr>
                <w:rFonts w:ascii="Arial" w:cs="Arial" w:eastAsia="Arial" w:hAnsi="Arial"/>
                <w:color w:val="1C1C1C"/>
                <w:sz w:val="21"/>
                <w:szCs w:val="21"/>
              </w:rPr>
              <w:t xml:space="preserve">— le preneur verse, outre le loyer, une provision mensuelle de </w:t>
            </w:r>
            <w:r>
              <w:rPr>
                <w:rFonts w:ascii="Arial" w:cs="Arial" w:eastAsia="Arial" w:hAnsi="Arial"/>
                <w:b/>
                <w:bCs/>
                <w:color w:val="1C1C1C"/>
                <w:sz w:val="21"/>
                <w:szCs w:val="21"/>
              </w:rPr>
              <w:t xml:space="preserve">{{bail.charges}}</w:t>
            </w:r>
            <w:r>
              <w:rPr>
                <w:rFonts w:ascii="Arial" w:cs="Arial" w:eastAsia="Arial" w:hAnsi="Arial"/>
                <w:color w:val="1C1C1C"/>
                <w:sz w:val="21"/>
                <w:szCs w:val="21"/>
              </w:rPr>
              <w:t xml:space="preserve"> EUR. Ces provisions font l'objet d'un décompte annuel établi sur la base des dépenses réelles et des pièces justificatives consultables par le preneur ; le solde est apuré entre les parties.</w:t>
            </w:r>
          </w:p>
        </w:tc>
      </w:tr>
    </w:tbl>
    <w:p>
      <w:pPr>
        <w:spacing w:after="60" w:line="252"/>
        <w:jc w:val="both"/>
      </w:pPr>
      <w:r>
        <w:rPr>
          <w:rFonts w:ascii="Arial" w:cs="Arial" w:eastAsia="Arial" w:hAnsi="Arial"/>
          <w:color w:val="1C1C1C"/>
          <w:sz w:val="21"/>
          <w:szCs w:val="21"/>
        </w:rPr>
        <w:t xml:space="preserve">Dans tous les cas, les charges privatives liées à des contrats individuels souscrits au nom du preneur (énergie, eau, télédistribution, etc.) restent à sa charge directe.</w:t>
      </w:r>
    </w:p>
    <w:p>
      <w:pPr>
        <w:pBdr>
          <w:bottom w:val="single" w:color="C9D2DC" w:sz="4" w:space="3"/>
        </w:pBdr>
        <w:spacing w:after="80" w:before="180"/>
      </w:pPr>
      <w:r>
        <w:rPr>
          <w:rFonts w:ascii="Arial" w:cs="Arial" w:eastAsia="Arial" w:hAnsi="Arial"/>
          <w:b/>
          <w:bCs/>
          <w:color w:val="33597F"/>
          <w:sz w:val="19"/>
          <w:szCs w:val="19"/>
        </w:rPr>
        <w:t xml:space="preserve">Article 7</w:t>
      </w:r>
      <w:r>
        <w:rPr>
          <w:rFonts w:ascii="Arial" w:cs="Arial" w:eastAsia="Arial" w:hAnsi="Arial"/>
          <w:b/>
          <w:bCs/>
          <w:color w:val="1F3B57"/>
          <w:sz w:val="21"/>
          <w:szCs w:val="21"/>
        </w:rPr>
        <w:t xml:space="preserve">   Garantie locative</w:t>
      </w:r>
    </w:p>
    <w:p>
      <w:pPr>
        <w:spacing w:after="100" w:line="252"/>
        <w:jc w:val="both"/>
      </w:pPr>
      <w:r>
        <w:rPr>
          <w:rFonts w:ascii="Arial" w:cs="Arial" w:eastAsia="Arial" w:hAnsi="Arial"/>
          <w:color w:val="1C1C1C"/>
          <w:sz w:val="21"/>
          <w:szCs w:val="21"/>
        </w:rPr>
        <w:t xml:space="preserve">Pour garantir l'exécution de ses obligations, le preneur constitue une garantie locative de </w:t>
      </w:r>
      <w:r>
        <w:rPr>
          <w:rFonts w:ascii="Arial" w:cs="Arial" w:eastAsia="Arial" w:hAnsi="Arial"/>
          <w:b/>
          <w:bCs/>
          <w:color w:val="1C1C1C"/>
          <w:sz w:val="21"/>
          <w:szCs w:val="21"/>
        </w:rPr>
        <w:t xml:space="preserve">{{bail.garantie}}</w:t>
      </w:r>
      <w:r>
        <w:rPr>
          <w:rFonts w:ascii="Arial" w:cs="Arial" w:eastAsia="Arial" w:hAnsi="Arial"/>
          <w:color w:val="1C1C1C"/>
          <w:sz w:val="21"/>
          <w:szCs w:val="21"/>
        </w:rPr>
        <w:t xml:space="preserve"> EUR, équivalant à deux mois de loyer — montant maximal autorisé en Région wallonne.</w:t>
      </w:r>
    </w:p>
    <w:p>
      <w:pPr>
        <w:spacing w:after="100" w:line="252"/>
        <w:jc w:val="both"/>
      </w:pPr>
      <w:r>
        <w:rPr>
          <w:rFonts w:ascii="Arial" w:cs="Arial" w:eastAsia="Arial" w:hAnsi="Arial"/>
          <w:color w:val="1C1C1C"/>
          <w:sz w:val="21"/>
          <w:szCs w:val="21"/>
        </w:rPr>
        <w:t xml:space="preserve">La garantie prend, au choix du preneur, la forme d'un compte individualisé bloqué ouvert à son nom, d'une garantie bancaire constituée progressivement, ou d'une garantie bancaire résultant d'un contrat-type conclu avec un C.P.A.S. Elle est intégralement constituée avant l'entrée dans les lieux, ne peut servir au paiement du loyer en cours de bail, et est libérée après l'état des lieux de sortie, déduction faite des sommes éventuellement dues.</w:t>
      </w:r>
    </w:p>
    <w:p>
      <w:pPr>
        <w:pBdr>
          <w:bottom w:val="single" w:color="C9D2DC" w:sz="4" w:space="3"/>
        </w:pBdr>
        <w:spacing w:after="80" w:before="180"/>
      </w:pPr>
      <w:r>
        <w:rPr>
          <w:rFonts w:ascii="Arial" w:cs="Arial" w:eastAsia="Arial" w:hAnsi="Arial"/>
          <w:b/>
          <w:bCs/>
          <w:color w:val="33597F"/>
          <w:sz w:val="19"/>
          <w:szCs w:val="19"/>
        </w:rPr>
        <w:t xml:space="preserve">Article 8</w:t>
      </w:r>
      <w:r>
        <w:rPr>
          <w:rFonts w:ascii="Arial" w:cs="Arial" w:eastAsia="Arial" w:hAnsi="Arial"/>
          <w:b/>
          <w:bCs/>
          <w:color w:val="1F3B57"/>
          <w:sz w:val="21"/>
          <w:szCs w:val="21"/>
        </w:rPr>
        <w:t xml:space="preserve">   État des lieux</w:t>
      </w:r>
    </w:p>
    <w:p>
      <w:pPr>
        <w:spacing w:after="100" w:line="252"/>
        <w:jc w:val="both"/>
      </w:pPr>
      <w:r>
        <w:rPr>
          <w:rFonts w:ascii="Arial" w:cs="Arial" w:eastAsia="Arial" w:hAnsi="Arial"/>
          <w:color w:val="1C1C1C"/>
          <w:sz w:val="21"/>
          <w:szCs w:val="21"/>
        </w:rPr>
        <w:t xml:space="preserve">Un état des lieux d'entrée détaillé est dressé contradictoirement et à frais communs, soit avant l'entrée dans les lieux, soit durant le premier mois d'occupation. Il est annexé au présent bail et enregistré avec celui-ci.</w:t>
      </w:r>
    </w:p>
    <w:p>
      <w:pPr>
        <w:spacing w:after="100" w:line="252"/>
        <w:jc w:val="both"/>
      </w:pPr>
      <w:r>
        <w:rPr>
          <w:rFonts w:ascii="Arial" w:cs="Arial" w:eastAsia="Arial" w:hAnsi="Arial"/>
          <w:color w:val="1C1C1C"/>
          <w:sz w:val="21"/>
          <w:szCs w:val="21"/>
        </w:rPr>
        <w:t xml:space="preserve">À défaut d'état des lieux d'entrée, le preneur est présumé avoir reçu le bien dans l'état où il se trouve à la fin du bail. Un état des lieux de sortie est dressé après la libération des lieux et avant la remise des clés.</w:t>
      </w:r>
    </w:p>
    <w:p>
      <w:pPr>
        <w:pBdr>
          <w:bottom w:val="single" w:color="C9D2DC" w:sz="4" w:space="3"/>
        </w:pBdr>
        <w:spacing w:after="80" w:before="180"/>
      </w:pPr>
      <w:r>
        <w:rPr>
          <w:rFonts w:ascii="Arial" w:cs="Arial" w:eastAsia="Arial" w:hAnsi="Arial"/>
          <w:b/>
          <w:bCs/>
          <w:color w:val="33597F"/>
          <w:sz w:val="19"/>
          <w:szCs w:val="19"/>
        </w:rPr>
        <w:t xml:space="preserve">Article 9</w:t>
      </w:r>
      <w:r>
        <w:rPr>
          <w:rFonts w:ascii="Arial" w:cs="Arial" w:eastAsia="Arial" w:hAnsi="Arial"/>
          <w:b/>
          <w:bCs/>
          <w:color w:val="1F3B57"/>
          <w:sz w:val="21"/>
          <w:szCs w:val="21"/>
        </w:rPr>
        <w:t xml:space="preserve">   Performance énergétique (PEB)</w:t>
      </w:r>
    </w:p>
    <w:p>
      <w:pPr>
        <w:spacing w:after="100" w:line="252"/>
        <w:jc w:val="both"/>
      </w:pPr>
      <w:r>
        <w:rPr>
          <w:rFonts w:ascii="Arial" w:cs="Arial" w:eastAsia="Arial" w:hAnsi="Arial"/>
          <w:color w:val="1C1C1C"/>
          <w:sz w:val="21"/>
          <w:szCs w:val="21"/>
        </w:rPr>
        <w:t xml:space="preserve">Le bien dispose d'un certificat de performance énergétique de classe </w:t>
      </w:r>
      <w:r>
        <w:rPr>
          <w:rFonts w:ascii="Arial" w:cs="Arial" w:eastAsia="Arial" w:hAnsi="Arial"/>
          <w:b/>
          <w:bCs/>
          <w:color w:val="1C1C1C"/>
          <w:sz w:val="21"/>
          <w:szCs w:val="21"/>
        </w:rPr>
        <w:t xml:space="preserve">{{bail.pebClasse}}</w:t>
      </w:r>
      <w:r>
        <w:rPr>
          <w:rFonts w:ascii="Arial" w:cs="Arial" w:eastAsia="Arial" w:hAnsi="Arial"/>
          <w:color w:val="1C1C1C"/>
          <w:sz w:val="21"/>
          <w:szCs w:val="21"/>
        </w:rPr>
        <w:t xml:space="preserve"> (certificat n° </w:t>
      </w:r>
      <w:r>
        <w:rPr>
          <w:rFonts w:ascii="Arial" w:cs="Arial" w:eastAsia="Arial" w:hAnsi="Arial"/>
          <w:b/>
          <w:bCs/>
          <w:color w:val="1C1C1C"/>
          <w:sz w:val="21"/>
          <w:szCs w:val="21"/>
        </w:rPr>
        <w:t xml:space="preserve">{{bail.pebRef}}</w:t>
      </w:r>
      <w:r>
        <w:rPr>
          <w:rFonts w:ascii="Arial" w:cs="Arial" w:eastAsia="Arial" w:hAnsi="Arial"/>
          <w:color w:val="1C1C1C"/>
          <w:sz w:val="21"/>
          <w:szCs w:val="21"/>
        </w:rPr>
        <w:t xml:space="preserve">, établi le </w:t>
      </w:r>
      <w:r>
        <w:rPr>
          <w:rFonts w:ascii="Arial" w:cs="Arial" w:eastAsia="Arial" w:hAnsi="Arial"/>
          <w:b/>
          <w:bCs/>
          <w:color w:val="1C1C1C"/>
          <w:sz w:val="21"/>
          <w:szCs w:val="21"/>
        </w:rPr>
        <w:t xml:space="preserve">{{bail.pebDate}}</w:t>
      </w:r>
      <w:r>
        <w:rPr>
          <w:rFonts w:ascii="Arial" w:cs="Arial" w:eastAsia="Arial" w:hAnsi="Arial"/>
          <w:color w:val="1C1C1C"/>
          <w:sz w:val="21"/>
          <w:szCs w:val="21"/>
        </w:rPr>
        <w:t xml:space="preserve">). Une copie en est remise au preneur et annexée au présent bail.</w:t>
      </w:r>
    </w:p>
    <w:p>
      <w:pPr>
        <w:pBdr>
          <w:bottom w:val="single" w:color="C9D2DC" w:sz="4" w:space="3"/>
        </w:pBdr>
        <w:spacing w:after="80" w:before="180"/>
      </w:pPr>
      <w:r>
        <w:rPr>
          <w:rFonts w:ascii="Arial" w:cs="Arial" w:eastAsia="Arial" w:hAnsi="Arial"/>
          <w:b/>
          <w:bCs/>
          <w:color w:val="33597F"/>
          <w:sz w:val="19"/>
          <w:szCs w:val="19"/>
        </w:rPr>
        <w:t xml:space="preserve">Article 10</w:t>
      </w:r>
      <w:r>
        <w:rPr>
          <w:rFonts w:ascii="Arial" w:cs="Arial" w:eastAsia="Arial" w:hAnsi="Arial"/>
          <w:b/>
          <w:bCs/>
          <w:color w:val="1F3B57"/>
          <w:sz w:val="21"/>
          <w:szCs w:val="21"/>
        </w:rPr>
        <w:t xml:space="preserve">   Obligations du preneur</w:t>
      </w:r>
    </w:p>
    <w:p>
      <w:pPr>
        <w:spacing w:after="100" w:line="252"/>
        <w:jc w:val="both"/>
      </w:pPr>
      <w:r>
        <w:rPr>
          <w:rFonts w:ascii="Arial" w:cs="Arial" w:eastAsia="Arial" w:hAnsi="Arial"/>
          <w:color w:val="1C1C1C"/>
          <w:sz w:val="21"/>
          <w:szCs w:val="21"/>
        </w:rPr>
        <w:t xml:space="preserve">Le preneur use du bien raisonnablement et conformément à sa destination. Il l'entretient, assume les réparations locatives et l'entretien courant, et le restitue en fin de bail dans l'état décrit à l'état des lieux d'entrée, hormis l'usure normale et la vétusté. Il signale sans délai au bailleur tout désordre relevant de celui-ci, n'apporte aucune transformation sans accord écrit préalable, et s'abstient de tout trouble de voisinage.</w:t>
      </w:r>
    </w:p>
    <w:p>
      <w:pPr>
        <w:pBdr>
          <w:bottom w:val="single" w:color="C9D2DC" w:sz="4" w:space="3"/>
        </w:pBdr>
        <w:spacing w:after="80" w:before="180"/>
      </w:pPr>
      <w:r>
        <w:rPr>
          <w:rFonts w:ascii="Arial" w:cs="Arial" w:eastAsia="Arial" w:hAnsi="Arial"/>
          <w:b/>
          <w:bCs/>
          <w:color w:val="33597F"/>
          <w:sz w:val="19"/>
          <w:szCs w:val="19"/>
        </w:rPr>
        <w:t xml:space="preserve">Article 11</w:t>
      </w:r>
      <w:r>
        <w:rPr>
          <w:rFonts w:ascii="Arial" w:cs="Arial" w:eastAsia="Arial" w:hAnsi="Arial"/>
          <w:b/>
          <w:bCs/>
          <w:color w:val="1F3B57"/>
          <w:sz w:val="21"/>
          <w:szCs w:val="21"/>
        </w:rPr>
        <w:t xml:space="preserve">   Obligations du bailleur</w:t>
      </w:r>
    </w:p>
    <w:p>
      <w:pPr>
        <w:spacing w:after="100" w:line="252"/>
        <w:jc w:val="both"/>
      </w:pPr>
      <w:r>
        <w:rPr>
          <w:rFonts w:ascii="Arial" w:cs="Arial" w:eastAsia="Arial" w:hAnsi="Arial"/>
          <w:color w:val="1C1C1C"/>
          <w:sz w:val="21"/>
          <w:szCs w:val="21"/>
        </w:rPr>
        <w:t xml:space="preserve">Le bailleur délivre le bien en bon état de réparation, de sécurité, de salubrité et d'habitabilité au sens du Code wallon de l'habitation durable. Il en garantit la jouissance paisible, exécute les réparations autres que locatives et répond des vices de la chose louée qui en empêchent l'usage.</w:t>
      </w:r>
    </w:p>
    <w:p>
      <w:pPr>
        <w:pBdr>
          <w:bottom w:val="single" w:color="C9D2DC" w:sz="4" w:space="3"/>
        </w:pBdr>
        <w:spacing w:after="80" w:before="180"/>
      </w:pPr>
      <w:r>
        <w:rPr>
          <w:rFonts w:ascii="Arial" w:cs="Arial" w:eastAsia="Arial" w:hAnsi="Arial"/>
          <w:b/>
          <w:bCs/>
          <w:color w:val="33597F"/>
          <w:sz w:val="19"/>
          <w:szCs w:val="19"/>
        </w:rPr>
        <w:t xml:space="preserve">Article 12</w:t>
      </w:r>
      <w:r>
        <w:rPr>
          <w:rFonts w:ascii="Arial" w:cs="Arial" w:eastAsia="Arial" w:hAnsi="Arial"/>
          <w:b/>
          <w:bCs/>
          <w:color w:val="1F3B57"/>
          <w:sz w:val="21"/>
          <w:szCs w:val="21"/>
        </w:rPr>
        <w:t xml:space="preserve">   Assurances et sécurité</w:t>
      </w:r>
    </w:p>
    <w:p>
      <w:pPr>
        <w:spacing w:after="100" w:line="252"/>
        <w:jc w:val="both"/>
      </w:pPr>
      <w:r>
        <w:rPr>
          <w:rFonts w:ascii="Arial" w:cs="Arial" w:eastAsia="Arial" w:hAnsi="Arial"/>
          <w:color w:val="1C1C1C"/>
          <w:sz w:val="21"/>
          <w:szCs w:val="21"/>
        </w:rPr>
        <w:t xml:space="preserve">Le preneur souscrit une assurance couvrant sa responsabilité locative (incendie et dégâts des eaux) et en justifie au bailleur à première demande ; à défaut, le bailleur peut souscrire cette couverture et en répercuter le coût sur le preneur.</w:t>
      </w:r>
    </w:p>
    <w:p>
      <w:pPr>
        <w:spacing w:after="100" w:line="252"/>
        <w:jc w:val="both"/>
      </w:pPr>
      <w:r>
        <w:rPr>
          <w:rFonts w:ascii="Arial" w:cs="Arial" w:eastAsia="Arial" w:hAnsi="Arial"/>
          <w:color w:val="1C1C1C"/>
          <w:sz w:val="21"/>
          <w:szCs w:val="21"/>
        </w:rPr>
        <w:t xml:space="preserve">Le bien est équipé de détecteurs de fumée conformes ; le preneur veille à leur bon fonctionnement et au remplacement des piles pendant la durée du bail.</w:t>
      </w:r>
    </w:p>
    <w:p>
      <w:pPr>
        <w:pBdr>
          <w:bottom w:val="single" w:color="C9D2DC" w:sz="4" w:space="3"/>
        </w:pBdr>
        <w:spacing w:after="80" w:before="180"/>
      </w:pPr>
      <w:r>
        <w:rPr>
          <w:rFonts w:ascii="Arial" w:cs="Arial" w:eastAsia="Arial" w:hAnsi="Arial"/>
          <w:b/>
          <w:bCs/>
          <w:color w:val="33597F"/>
          <w:sz w:val="19"/>
          <w:szCs w:val="19"/>
        </w:rPr>
        <w:t xml:space="preserve">Article 13</w:t>
      </w:r>
      <w:r>
        <w:rPr>
          <w:rFonts w:ascii="Arial" w:cs="Arial" w:eastAsia="Arial" w:hAnsi="Arial"/>
          <w:b/>
          <w:bCs/>
          <w:color w:val="1F3B57"/>
          <w:sz w:val="21"/>
          <w:szCs w:val="21"/>
        </w:rPr>
        <w:t xml:space="preserve">   Cession et sous-location</w:t>
      </w:r>
    </w:p>
    <w:p>
      <w:pPr>
        <w:spacing w:after="100" w:line="252"/>
        <w:jc w:val="both"/>
      </w:pPr>
      <w:r>
        <w:rPr>
          <w:rFonts w:ascii="Arial" w:cs="Arial" w:eastAsia="Arial" w:hAnsi="Arial"/>
          <w:color w:val="1C1C1C"/>
          <w:sz w:val="21"/>
          <w:szCs w:val="21"/>
        </w:rPr>
        <w:t xml:space="preserve">La cession du bail ainsi que la sous-location, totale ou partielle, sont interdites sauf accord écrit et préalable du bailleur.</w:t>
      </w:r>
    </w:p>
    <w:p>
      <w:pPr>
        <w:pBdr>
          <w:bottom w:val="single" w:color="C9D2DC" w:sz="4" w:space="3"/>
        </w:pBdr>
        <w:spacing w:after="80" w:before="180"/>
      </w:pPr>
      <w:r>
        <w:rPr>
          <w:rFonts w:ascii="Arial" w:cs="Arial" w:eastAsia="Arial" w:hAnsi="Arial"/>
          <w:b/>
          <w:bCs/>
          <w:color w:val="33597F"/>
          <w:sz w:val="19"/>
          <w:szCs w:val="19"/>
        </w:rPr>
        <w:t xml:space="preserve">Article 14</w:t>
      </w:r>
      <w:r>
        <w:rPr>
          <w:rFonts w:ascii="Arial" w:cs="Arial" w:eastAsia="Arial" w:hAnsi="Arial"/>
          <w:b/>
          <w:bCs/>
          <w:color w:val="1F3B57"/>
          <w:sz w:val="21"/>
          <w:szCs w:val="21"/>
        </w:rPr>
        <w:t xml:space="preserve">   Fin du bail et décès du preneur</w:t>
      </w:r>
    </w:p>
    <w:p>
      <w:pPr>
        <w:spacing w:after="100" w:line="252"/>
        <w:jc w:val="both"/>
      </w:pPr>
      <w:r>
        <w:rPr>
          <w:rFonts w:ascii="Arial" w:cs="Arial" w:eastAsia="Arial" w:hAnsi="Arial"/>
          <w:color w:val="1C1C1C"/>
          <w:sz w:val="21"/>
          <w:szCs w:val="21"/>
        </w:rPr>
        <w:t xml:space="preserve">Les congés, préavis et indemnités éventuelles obéissent au décret du 15 mars 2018. Le preneur peut résilier le bail à tout moment moyennant un préavis de trois mois ; une indemnité de trois, deux ou un mois de loyer est due si la résiliation intervient respectivement durant la première, la deuxième ou la troisième année.</w:t>
      </w:r>
    </w:p>
    <w:p>
      <w:pPr>
        <w:spacing w:after="100" w:line="252"/>
        <w:jc w:val="both"/>
      </w:pPr>
      <w:r>
        <w:rPr>
          <w:rFonts w:ascii="Arial" w:cs="Arial" w:eastAsia="Arial" w:hAnsi="Arial"/>
          <w:color w:val="1C1C1C"/>
          <w:sz w:val="21"/>
          <w:szCs w:val="21"/>
        </w:rPr>
        <w:t xml:space="preserve">Le décès du preneur met fin au bail trois mois après le décès, sans préavis ni indemnité ; toute personne domiciliée dans le bien depuis plus de six mois à la date du décès peut toutefois notifier au bailleur, dans le mois, sa volonté de reprendre le bail.</w:t>
      </w:r>
    </w:p>
    <w:p>
      <w:pPr>
        <w:pBdr>
          <w:bottom w:val="single" w:color="C9D2DC" w:sz="4" w:space="3"/>
        </w:pBdr>
        <w:spacing w:after="80" w:before="180"/>
      </w:pPr>
      <w:r>
        <w:rPr>
          <w:rFonts w:ascii="Arial" w:cs="Arial" w:eastAsia="Arial" w:hAnsi="Arial"/>
          <w:b/>
          <w:bCs/>
          <w:color w:val="33597F"/>
          <w:sz w:val="19"/>
          <w:szCs w:val="19"/>
        </w:rPr>
        <w:t xml:space="preserve">Article 15</w:t>
      </w:r>
      <w:r>
        <w:rPr>
          <w:rFonts w:ascii="Arial" w:cs="Arial" w:eastAsia="Arial" w:hAnsi="Arial"/>
          <w:b/>
          <w:bCs/>
          <w:color w:val="1F3B57"/>
          <w:sz w:val="21"/>
          <w:szCs w:val="21"/>
        </w:rPr>
        <w:t xml:space="preserve">   Enregistrement et dispositions diverses</w:t>
      </w:r>
    </w:p>
    <w:p>
      <w:pPr>
        <w:spacing w:after="100" w:line="252"/>
        <w:jc w:val="both"/>
      </w:pPr>
      <w:r>
        <w:rPr>
          <w:rFonts w:ascii="Arial" w:cs="Arial" w:eastAsia="Arial" w:hAnsi="Arial"/>
          <w:color w:val="1C1C1C"/>
          <w:sz w:val="21"/>
          <w:szCs w:val="21"/>
        </w:rPr>
        <w:t xml:space="preserve">L'enregistrement du bail incombe au bailleur, gratuitement, dans les deux mois de la signature, auprès du bureau compétent du SPF Finances ; l'état des lieux d'entrée y est joint. À défaut d'enregistrement, le preneur peut résilier le bail sans préavis ni indemnité.</w:t>
      </w:r>
    </w:p>
    <w:p>
      <w:pPr>
        <w:spacing w:after="100" w:line="252"/>
        <w:jc w:val="both"/>
      </w:pPr>
      <w:r>
        <w:rPr>
          <w:rFonts w:ascii="Arial" w:cs="Arial" w:eastAsia="Arial" w:hAnsi="Arial"/>
          <w:color w:val="1C1C1C"/>
          <w:sz w:val="21"/>
          <w:szCs w:val="21"/>
        </w:rPr>
        <w:t xml:space="preserve">Toute modification du présent bail fait l'objet d'un avenant écrit. La nullité éventuelle d'une clause n'affecte pas la validité des autres. Les parties élisent domicile à l'adresse mentionnée en tête des présentes, le preneur élisant domicile dans le bien loué dès son entrée.</w:t>
      </w:r>
    </w:p>
    <w:p>
      <w:pPr>
        <w:pBdr>
          <w:bottom w:val="single" w:color="C9D2DC" w:sz="4" w:space="3"/>
        </w:pBdr>
        <w:spacing w:after="80" w:before="180"/>
      </w:pPr>
      <w:r>
        <w:rPr>
          <w:rFonts w:ascii="Arial" w:cs="Arial" w:eastAsia="Arial" w:hAnsi="Arial"/>
          <w:b/>
          <w:bCs/>
          <w:color w:val="33597F"/>
          <w:sz w:val="19"/>
          <w:szCs w:val="19"/>
        </w:rPr>
        <w:t xml:space="preserve">Article 16</w:t>
      </w:r>
      <w:r>
        <w:rPr>
          <w:rFonts w:ascii="Arial" w:cs="Arial" w:eastAsia="Arial" w:hAnsi="Arial"/>
          <w:b/>
          <w:bCs/>
          <w:color w:val="1F3B57"/>
          <w:sz w:val="21"/>
          <w:szCs w:val="21"/>
        </w:rPr>
        <w:t xml:space="preserve">   Annexes</w:t>
      </w:r>
    </w:p>
    <w:p>
      <w:pPr>
        <w:spacing w:after="100" w:line="252"/>
        <w:jc w:val="both"/>
      </w:pPr>
      <w:r>
        <w:rPr>
          <w:rFonts w:ascii="Arial" w:cs="Arial" w:eastAsia="Arial" w:hAnsi="Arial"/>
          <w:color w:val="1C1C1C"/>
          <w:sz w:val="21"/>
          <w:szCs w:val="21"/>
        </w:rPr>
        <w:t xml:space="preserve">Font partie intégrante du présent bail : l'annexe explicative obligatoire établie par le Gouvernement wallon ; l'état des lieux d'entrée ; le certificat PEB. Le cas échéant : le règlement d'ordre intérieur de l'immeuble, l'attestation de constitution de la garantie locative et l'attestation d'assurance.</w:t>
      </w:r>
    </w:p>
    <w:p>
      <w:pPr>
        <w:pBdr>
          <w:bottom w:val="single" w:color="C9D2DC" w:sz="4" w:space="3"/>
        </w:pBdr>
        <w:spacing w:after="80" w:before="180"/>
      </w:pPr>
      <w:r>
        <w:rPr>
          <w:rFonts w:ascii="Arial" w:cs="Arial" w:eastAsia="Arial" w:hAnsi="Arial"/>
          <w:b/>
          <w:bCs/>
          <w:color w:val="33597F"/>
          <w:sz w:val="19"/>
          <w:szCs w:val="19"/>
        </w:rPr>
        <w:t xml:space="preserve">Article 17</w:t>
      </w:r>
      <w:r>
        <w:rPr>
          <w:rFonts w:ascii="Arial" w:cs="Arial" w:eastAsia="Arial" w:hAnsi="Arial"/>
          <w:b/>
          <w:bCs/>
          <w:color w:val="1F3B57"/>
          <w:sz w:val="21"/>
          <w:szCs w:val="21"/>
        </w:rPr>
        <w:t xml:space="preserve">   Remarques particulières</w:t>
      </w:r>
    </w:p>
    <w:p>
      <w:pPr>
        <w:spacing w:after="60" w:line="252"/>
        <w:jc w:val="both"/>
      </w:pPr>
      <w:r>
        <w:rPr>
          <w:rFonts w:ascii="Arial" w:cs="Arial" w:eastAsia="Arial" w:hAnsi="Arial"/>
          <w:b/>
          <w:bCs/>
          <w:color w:val="1C1C1C"/>
          <w:sz w:val="21"/>
          <w:szCs w:val="21"/>
        </w:rPr>
        <w:t xml:space="preserve">{{bail.remarques}}</w:t>
      </w:r>
    </w:p>
    <w:p>
      <w:pPr>
        <w:spacing w:after="100" w:before="200"/>
      </w:pPr>
      <w:r>
        <w:rPr>
          <w:rFonts w:ascii="Arial" w:cs="Arial" w:eastAsia="Arial" w:hAnsi="Arial"/>
          <w:color w:val="1C1C1C"/>
          <w:sz w:val="21"/>
          <w:szCs w:val="21"/>
        </w:rPr>
        <w:t xml:space="preserve">Fait à </w:t>
      </w:r>
      <w:r>
        <w:rPr>
          <w:rFonts w:ascii="Arial" w:cs="Arial" w:eastAsia="Arial" w:hAnsi="Arial"/>
          <w:b/>
          <w:bCs/>
          <w:color w:val="1C1C1C"/>
          <w:sz w:val="21"/>
          <w:szCs w:val="21"/>
        </w:rPr>
        <w:t xml:space="preserve">{{bail.lieuSignature}}</w:t>
      </w:r>
      <w:r>
        <w:rPr>
          <w:rFonts w:ascii="Arial" w:cs="Arial" w:eastAsia="Arial" w:hAnsi="Arial"/>
          <w:color w:val="1C1C1C"/>
          <w:sz w:val="21"/>
          <w:szCs w:val="21"/>
        </w:rPr>
        <w:t xml:space="preserve">, le </w:t>
      </w:r>
      <w:r>
        <w:rPr>
          <w:rFonts w:ascii="Arial" w:cs="Arial" w:eastAsia="Arial" w:hAnsi="Arial"/>
          <w:b/>
          <w:bCs/>
          <w:color w:val="1C1C1C"/>
          <w:sz w:val="21"/>
          <w:szCs w:val="21"/>
        </w:rPr>
        <w:t xml:space="preserve">{{bail.dateSignature}}</w:t>
      </w:r>
      <w:r>
        <w:rPr>
          <w:rFonts w:ascii="Arial" w:cs="Arial" w:eastAsia="Arial" w:hAnsi="Arial"/>
          <w:color w:val="1C1C1C"/>
          <w:sz w:val="21"/>
          <w:szCs w:val="21"/>
        </w:rPr>
        <w:t xml:space="preserve">, en autant d'exemplaires originaux que de parties ayant un intérêt distinct, augmentés d'un exemplaire destiné à l'enregistrement. Chaque partie reconnaît avoir reçu le sien.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rHeight w:val="1550" w:hRule="atLeast"/>
        </w:trPr>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bailleur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preneur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r>
    </w:tbl>
    <w:p>
      <w:pPr>
        <w:pBdr>
          <w:top w:val="single" w:color="C9D2DC" w:sz="4" w:space="6"/>
        </w:pBdr>
        <w:spacing w:before="200"/>
      </w:pPr>
      <w:r>
        <w:rPr>
          <w:rFonts w:ascii="Arial" w:cs="Arial" w:eastAsia="Arial" w:hAnsi="Arial"/>
          <w:i/>
          <w:iCs/>
          <w:color w:val="5B6573"/>
          <w:sz w:val="16"/>
          <w:szCs w:val="16"/>
        </w:rPr>
        <w:t xml:space="preserve">Modèle conforme au décret wallon du 15 mars 2018 relatif au bail d'habitation. Document fourni à titre indicatif ; en présence d'une situation particulière, il est recommandé de le faire vérifier par un professionnel du droit.</w:t>
      </w:r>
    </w:p>
    <w:sectPr>
      <w:footerReference w:type="default" r:id="rId7"/>
      <w:pgSz w:w="11906" w:h="16838" w:orient="portrait"/>
      <w:pgMar w:top="1021" w:right="1100" w:bottom="1134" w:left="110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2" w:space="6"/>
      </w:pBdr>
      <w:jc w:val="center"/>
    </w:pPr>
    <w:r>
      <w:rPr>
        <w:rFonts w:ascii="Arial" w:cs="Arial" w:eastAsia="Arial" w:hAnsi="Arial"/>
        <w:color w:val="5B6573"/>
        <w:sz w:val="15"/>
        <w:szCs w:val="15"/>
      </w:rPr>
      <w:t xml:space="preserve">Bail de résidence principale   ·   page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color w:val="5B6573"/>
        <w:sz w:val="15"/>
        <w:szCs w:val="15"/>
      </w:rPr>
      <w:t xml:space="preserve"> / </w:t>
    </w:r>
    <w:r>
      <w:rPr>
        <w:rFonts w:ascii="Arial" w:cs="Arial" w:eastAsia="Arial" w:hAnsi="Arial"/>
        <w:color w:val="5B65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2026-05-17T20:16:28.057Z</dcterms:created>
  <dcterms:modified xsi:type="dcterms:W3CDTF">2026-05-17T20:16:28.075Z</dcterms:modified>
</cp:coreProperties>
</file>

<file path=docProps/custom.xml><?xml version="1.0" encoding="utf-8"?>
<Properties xmlns="http://schemas.openxmlformats.org/officeDocument/2006/custom-properties" xmlns:vt="http://schemas.openxmlformats.org/officeDocument/2006/docPropsVTypes"/>
</file>