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jc w:val="center"/>
      </w:pPr>
      <w:r>
        <w:rPr>
          <w:b/>
          <w:bCs/>
          <w:color w:val="1F4E79"/>
          <w:sz w:val="44"/>
          <w:szCs w:val="44"/>
        </w:rPr>
        <w:t xml:space="preserve">CONTRAT DE BAIL</w:t>
      </w:r>
    </w:p>
    <w:p>
      <w:pPr>
        <w:spacing w:after="240"/>
        <w:jc w:val="center"/>
      </w:pPr>
      <w:r>
        <w:rPr>
          <w:i/>
          <w:iCs/>
          <w:color w:val="595959"/>
          <w:sz w:val="22"/>
          <w:szCs w:val="22"/>
        </w:rPr>
        <w:t xml:space="preserve">Location de courte durée – Région wallonne</w:t>
      </w:r>
    </w:p>
    <w:p>
      <w:pPr>
        <w:spacing w:after="80"/>
      </w:pPr>
      <w:r>
        <w:rPr>
          <w:b/>
          <w:bCs/>
          <w:sz w:val="22"/>
          <w:szCs w:val="22"/>
        </w:rPr>
        <w:t xml:space="preserve">ENTRE LES SOUSSIGNÉS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left w:val="single" w:color="1F4E79" w:sz="18"/>
              <w:bottom w:val="none"/>
              <w:right w:val="none"/>
            </w:tcBorders>
            <w:shd w:fill="EAF1F8" w:val="clear"/>
            <w:tcMar>
              <w:top w:type="dxa" w:w="120"/>
              <w:left w:type="dxa" w:w="160"/>
              <w:bottom w:type="dxa" w:w="120"/>
              <w:right w:type="dxa" w:w="160"/>
            </w:tcMar>
          </w:tcPr>
          <w:p>
            <w:pPr>
              <w:spacing w:after="60"/>
            </w:pPr>
            <w:r>
              <w:rPr>
                <w:b/>
                <w:bCs/>
                <w:color w:val="1F4E79"/>
                <w:sz w:val="20"/>
                <w:szCs w:val="20"/>
              </w:rPr>
              <w:t xml:space="preserve">LE BAILLEUR</w:t>
            </w:r>
          </w:p>
          <w:p>
            <w:pPr>
              <w:spacing w:after="40"/>
            </w:pPr>
            <w:r>
              <w:rPr>
                <w:b/>
                <w:bCs/>
                <w:color w:val="595959"/>
                <w:sz w:val="20"/>
                <w:szCs w:val="20"/>
              </w:rPr>
              <w:t xml:space="preserve">Nom : </w:t>
            </w:r>
            <w:r>
              <w:rPr>
                <w:sz w:val="22"/>
                <w:szCs w:val="22"/>
              </w:rPr>
              <w:t xml:space="preserve">{{bailleur.nom}}</w:t>
            </w:r>
          </w:p>
          <w:p>
            <w:pPr>
              <w:spacing w:after="40"/>
            </w:pPr>
            <w:r>
              <w:rPr>
                <w:b/>
                <w:bCs/>
                <w:color w:val="595959"/>
                <w:sz w:val="20"/>
                <w:szCs w:val="20"/>
              </w:rPr>
              <w:t xml:space="preserve">Domicile : </w:t>
            </w:r>
            <w:r>
              <w:rPr>
                <w:sz w:val="22"/>
                <w:szCs w:val="22"/>
              </w:rPr>
              <w:t xml:space="preserve">{{bailleur.adresse}}</w:t>
            </w:r>
          </w:p>
        </w:tc>
      </w:tr>
    </w:tbl>
    <w:p>
      <w:pPr>
        <w:spacing w:after="80" w:before="80"/>
        <w:jc w:val="center"/>
      </w:pPr>
      <w:r>
        <w:rPr>
          <w:b/>
          <w:bCs/>
          <w:color w:val="595959"/>
          <w:sz w:val="20"/>
          <w:szCs w:val="20"/>
        </w:rPr>
        <w:t xml:space="preserve">ET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left w:val="single" w:color="1F4E79" w:sz="18"/>
              <w:bottom w:val="none"/>
              <w:right w:val="none"/>
            </w:tcBorders>
            <w:shd w:fill="EAF1F8" w:val="clear"/>
            <w:tcMar>
              <w:top w:type="dxa" w:w="120"/>
              <w:left w:type="dxa" w:w="160"/>
              <w:bottom w:type="dxa" w:w="120"/>
              <w:right w:type="dxa" w:w="160"/>
            </w:tcMar>
          </w:tcPr>
          <w:p>
            <w:pPr>
              <w:spacing w:after="60"/>
            </w:pPr>
            <w:r>
              <w:rPr>
                <w:b/>
                <w:bCs/>
                <w:color w:val="1F4E79"/>
                <w:sz w:val="20"/>
                <w:szCs w:val="20"/>
              </w:rPr>
              <w:t xml:space="preserve">LE LOCATAIRE</w:t>
            </w:r>
          </w:p>
          <w:p>
            <w:pPr>
              <w:spacing w:after="40"/>
            </w:pPr>
            <w:r>
              <w:rPr>
                <w:b/>
                <w:bCs/>
                <w:color w:val="595959"/>
                <w:sz w:val="20"/>
                <w:szCs w:val="20"/>
              </w:rPr>
              <w:t xml:space="preserve">Nom : </w:t>
            </w:r>
            <w:r>
              <w:rPr>
                <w:sz w:val="22"/>
                <w:szCs w:val="22"/>
              </w:rPr>
              <w:t xml:space="preserve">{{loc.civilite}} {{loc.prenom}} {{loc.nom}}</w:t>
            </w:r>
          </w:p>
          <w:p>
            <w:pPr>
              <w:spacing w:after="40"/>
            </w:pPr>
            <w:r>
              <w:rPr>
                <w:b/>
                <w:bCs/>
                <w:color w:val="595959"/>
                <w:sz w:val="20"/>
                <w:szCs w:val="20"/>
              </w:rPr>
              <w:t xml:space="preserve">Domicile : </w:t>
            </w:r>
            <w:r>
              <w:rPr>
                <w:sz w:val="22"/>
                <w:szCs w:val="22"/>
              </w:rPr>
              <w:t xml:space="preserve">{{loc.adresse}}</w:t>
            </w:r>
          </w:p>
          <w:p>
            <w:pPr>
              <w:spacing w:after="40"/>
            </w:pPr>
            <w:r>
              <w:rPr>
                <w:b/>
                <w:bCs/>
                <w:color w:val="595959"/>
                <w:sz w:val="20"/>
                <w:szCs w:val="20"/>
              </w:rPr>
              <w:t xml:space="preserve">E-mail : </w:t>
            </w:r>
            <w:r>
              <w:rPr>
                <w:sz w:val="22"/>
                <w:szCs w:val="22"/>
              </w:rPr>
              <w:t xml:space="preserve">{{loc.email}}</w:t>
            </w:r>
          </w:p>
          <w:p>
            <w:pPr>
              <w:spacing w:after="40"/>
            </w:pPr>
            <w:r>
              <w:rPr>
                <w:b/>
                <w:bCs/>
                <w:color w:val="595959"/>
                <w:sz w:val="20"/>
                <w:szCs w:val="20"/>
              </w:rPr>
              <w:t xml:space="preserve">Téléphone : </w:t>
            </w:r>
            <w:r>
              <w:rPr>
                <w:sz w:val="22"/>
                <w:szCs w:val="22"/>
              </w:rPr>
              <w:t xml:space="preserve">{{loc.tel}}</w:t>
            </w:r>
          </w:p>
          <w:p>
            <w:pPr>
              <w:spacing w:after="40"/>
            </w:pPr>
            <w:r>
              <w:rPr>
                <w:b/>
                <w:bCs/>
                <w:color w:val="595959"/>
                <w:sz w:val="20"/>
                <w:szCs w:val="20"/>
              </w:rPr>
              <w:t xml:space="preserve">Contact en cas d'urgence : </w:t>
            </w:r>
            <w:r>
              <w:rPr>
                <w:sz w:val="22"/>
                <w:szCs w:val="22"/>
              </w:rPr>
              <w:t xml:space="preserve">{{loc.contactUrgence}}</w:t>
            </w:r>
          </w:p>
        </w:tc>
      </w:tr>
    </w:tbl>
    <w:p>
      <w:pPr>
        <w:spacing w:after="160" w:before="200"/>
        <w:jc w:val="center"/>
      </w:pPr>
      <w:r>
        <w:rPr>
          <w:b/>
          <w:bCs/>
          <w:color w:val="1F4E79"/>
          <w:sz w:val="22"/>
          <w:szCs w:val="22"/>
        </w:rPr>
        <w:t xml:space="preserve">IL A ÉTÉ CONVENU CE QUI SUIT</w:t>
      </w:r>
    </w:p>
    <w:p>
      <w:pPr>
        <w:pStyle w:val="Heading2"/>
        <w:spacing w:after="100" w:before="240"/>
      </w:pPr>
      <w:r>
        <w:t xml:space="preserve">Article 1 — Objet du contrat</w:t>
      </w:r>
    </w:p>
    <w:p>
      <w:pPr>
        <w:spacing w:after="120" w:line="276"/>
        <w:jc w:val="both"/>
      </w:pPr>
      <w:r>
        <w:t xml:space="preserve">Le bailleur donne en location au locataire, qui accepte, le logement situé </w:t>
      </w:r>
      <w:r>
        <w:rPr>
          <w:b/>
          <w:bCs/>
        </w:rPr>
        <w:t xml:space="preserve">{{lgt.adresse}}</w:t>
      </w:r>
      <w:r>
        <w:t xml:space="preserve">, ci-après dénommé « le logement ».</w:t>
      </w:r>
    </w:p>
    <w:p>
      <w:pPr>
        <w:spacing w:after="120" w:line="276"/>
        <w:jc w:val="both"/>
      </w:pPr>
      <w:r>
        <w:t xml:space="preserve">Le logement comprend : </w:t>
      </w:r>
      <w:r>
        <w:rPr>
          <w:b/>
          <w:bCs/>
        </w:rPr>
        <w:t xml:space="preserve">{{lgt.contenu}}</w:t>
      </w:r>
    </w:p>
    <w:p>
      <w:pPr>
        <w:spacing w:after="120" w:line="276"/>
        <w:jc w:val="both"/>
      </w:pPr>
      <w:r>
        <w:rPr>
          <w:i/>
          <w:iCs/>
        </w:rPr>
        <w:t xml:space="preserve">Le locataire dispose également d'un accès aux parties communes de l'immeuble.</w:t>
      </w:r>
    </w:p>
    <w:p>
      <w:pPr>
        <w:pStyle w:val="Heading2"/>
        <w:spacing w:after="100" w:before="240"/>
      </w:pPr>
      <w:r>
        <w:t xml:space="preserve">Article 2 — Durée du bail</w:t>
      </w:r>
    </w:p>
    <w:p>
      <w:pPr>
        <w:pStyle w:val="ListParagraph"/>
        <w:numPr>
          <w:ilvl w:val="0"/>
          <w:numId w:val="2"/>
        </w:numPr>
        <w:spacing w:after="80"/>
        <w:jc w:val="both"/>
      </w:pPr>
      <w:r>
        <w:t xml:space="preserve">Le présent bail est conclu pour une durée de </w:t>
      </w:r>
      <w:r>
        <w:rPr>
          <w:b/>
          <w:bCs/>
        </w:rPr>
        <w:t xml:space="preserve">{{bail.dureeMois}} mois</w:t>
      </w:r>
      <w:r>
        <w:t xml:space="preserve">, prenant cours le </w:t>
      </w:r>
      <w:r>
        <w:rPr>
          <w:b/>
          <w:bCs/>
        </w:rPr>
        <w:t xml:space="preserve">{{bail.dateDebut}}</w:t>
      </w:r>
      <w:r>
        <w:t xml:space="preserve"> pour se terminer de plein droit le </w:t>
      </w:r>
      <w:r>
        <w:rPr>
          <w:b/>
          <w:bCs/>
        </w:rPr>
        <w:t xml:space="preserve">{{bail.dateFin}}</w:t>
      </w:r>
      <w:r>
        <w:t xml:space="preserve">.</w:t>
      </w:r>
    </w:p>
    <w:p>
      <w:pPr>
        <w:pStyle w:val="ListParagraph"/>
        <w:numPr>
          <w:ilvl w:val="0"/>
          <w:numId w:val="2"/>
        </w:numPr>
        <w:spacing w:after="80"/>
        <w:jc w:val="both"/>
      </w:pPr>
      <w:r>
        <w:rPr>
          <w:b/>
          <w:bCs/>
          <w:i/>
          <w:iCs/>
        </w:rPr>
        <w:t xml:space="preserve">Résiliation anticipée</w:t>
      </w:r>
      <w:r>
        <w:t xml:space="preserve"> : le locataire peut mettre fin anticipativement au bail moyennant un préavis de trois mois, et à condition de présenter un nouvel occupant acceptable pour le bailleur.</w:t>
      </w:r>
    </w:p>
    <w:p>
      <w:pPr>
        <w:pStyle w:val="Heading2"/>
        <w:spacing w:after="100" w:before="240"/>
      </w:pPr>
      <w:r>
        <w:t xml:space="preserve">Article 3 — Loyer</w:t>
      </w:r>
    </w:p>
    <w:p>
      <w:pPr>
        <w:spacing w:after="120" w:line="276"/>
        <w:jc w:val="both"/>
      </w:pPr>
      <w:r>
        <w:t xml:space="preserve">Le loyer mensuel est fixé à </w:t>
      </w:r>
      <w:r>
        <w:rPr>
          <w:b/>
          <w:bCs/>
        </w:rPr>
        <w:t xml:space="preserve">{{bail.loyer}} €</w:t>
      </w:r>
      <w:r>
        <w:t xml:space="preserve"> ({{bail.loyerLettres}}).</w:t>
      </w:r>
    </w:p>
    <w:p>
      <w:pPr>
        <w:spacing w:after="120" w:line="276"/>
        <w:jc w:val="both"/>
      </w:pPr>
      <w:r>
        <w:t xml:space="preserve">Le loyer est payable anticipativement, au plus tard le </w:t>
      </w:r>
      <w:r>
        <w:rPr>
          <w:b/>
          <w:bCs/>
        </w:rPr>
        <w:t xml:space="preserve">{{bail.jourPaiement}} de chaque mois</w:t>
      </w:r>
      <w:r>
        <w:t xml:space="preserve">, par virement ou domiciliation sur le compte n° </w:t>
      </w:r>
      <w:r>
        <w:rPr>
          <w:b/>
          <w:bCs/>
        </w:rPr>
        <w:t xml:space="preserve">{{bailleur.iban}}</w:t>
      </w:r>
      <w:r>
        <w:t xml:space="preserve"> (BIC : {{bailleur.bic}}), sauf nouvelle instruction écrite du bailleur.</w:t>
      </w:r>
    </w:p>
    <w:p>
      <w:pPr>
        <w:pStyle w:val="Heading2"/>
        <w:spacing w:after="100" w:before="240"/>
      </w:pPr>
      <w:r>
        <w:t xml:space="preserve">Article 4 — Indexation du loyer</w:t>
      </w:r>
    </w:p>
    <w:p>
      <w:pPr>
        <w:spacing w:after="120" w:line="276"/>
        <w:jc w:val="both"/>
      </w:pPr>
      <w:r>
        <w:t xml:space="preserve">Le loyer peut être indexé une fois par an, à la date anniversaire de l'entrée en vigueur du bail, </w:t>
      </w:r>
      <w:r>
        <w:t xml:space="preserve">sur demande écrite du bailleur et conformément à la formule légale d'indexation prévue par le décret wallon relatif au bail d'habitation </w:t>
      </w:r>
      <w:r>
        <w:t xml:space="preserve">(loyer de base × nouvel indice santé / indice santé du mois précédant la signature du bail).</w:t>
      </w:r>
    </w:p>
    <w:p>
      <w:pPr>
        <w:pStyle w:val="Heading2"/>
        <w:spacing w:after="100" w:before="240"/>
      </w:pPr>
      <w:r>
        <w:t xml:space="preserve">Article 5 — Frais et charges</w:t>
      </w:r>
    </w:p>
    <w:p>
      <w:pPr>
        <w:spacing w:after="120" w:line="276"/>
        <w:jc w:val="both"/>
      </w:pPr>
      <w:r>
        <w:t xml:space="preserve">Le bailleur prend à sa charge le coût des abonnements aux distributions d'eau, d'électricité, de chauffage et d'internet, ainsi que tous les frais y relatifs, en ce compris la location des compteurs et le coût des consommations.</w:t>
      </w:r>
    </w:p>
    <w:p>
      <w:pPr>
        <w:spacing w:after="120" w:line="276"/>
        <w:jc w:val="both"/>
      </w:pPr>
      <w:r>
        <w:t xml:space="preserve">Les consommations de chauffage, d'eau et d'électricité sont calculées sur la base d'un usage normal. En cas de consommation excessive, une participation aux frais pourra être réclamée au locataire.</w:t>
      </w:r>
    </w:p>
    <w:p>
      <w:pPr>
        <w:pStyle w:val="Heading2"/>
        <w:spacing w:after="100" w:before="240"/>
      </w:pPr>
      <w:r>
        <w:t xml:space="preserve">Article 6 — Impôts et taxes</w:t>
      </w:r>
    </w:p>
    <w:p>
      <w:pPr>
        <w:spacing w:after="120" w:line="276"/>
        <w:jc w:val="both"/>
      </w:pPr>
      <w:r>
        <w:t xml:space="preserve">Tous les impôts et taxes quelconques, mis ou à mettre sur les lieux loués par l'État, la Région, la Province, la Commune ou toute autre autorité publique, sont à charge du bailleur.</w:t>
      </w:r>
    </w:p>
    <w:p>
      <w:pPr>
        <w:pStyle w:val="Heading2"/>
        <w:spacing w:after="100" w:before="240"/>
      </w:pPr>
      <w:r>
        <w:t xml:space="preserve">Article 7 — Garantie locative</w:t>
      </w:r>
    </w:p>
    <w:p>
      <w:pPr>
        <w:spacing w:after="120" w:line="276"/>
        <w:jc w:val="both"/>
      </w:pPr>
      <w:r>
        <w:t xml:space="preserve">En vue d'assurer le respect de ses obligations, le locataire constitue une garantie locative d'un montant de </w:t>
      </w:r>
      <w:r>
        <w:rPr>
          <w:b/>
          <w:bCs/>
        </w:rPr>
        <w:t xml:space="preserve">{{bail.garantie}} €</w:t>
      </w:r>
      <w:r>
        <w:t xml:space="preserve">, correspondant à deux mois de loyer, versée sur le compte du bailleur (n° {{bailleur.iban}}).</w:t>
      </w:r>
    </w:p>
    <w:p>
      <w:pPr>
        <w:spacing w:after="120" w:line="276"/>
        <w:jc w:val="both"/>
      </w:pPr>
      <w:r>
        <w:t xml:space="preserve">Le bailleur dispose d'un privilège sur cette garantie pour tout montant résultant de l'inexécution totale ou partielle des obligations du locataire (arriérés de loyer ou de charges, dégâts locatifs, etc.). Il est interdit au locataire d'affecter la garantie au paiement des loyers ou des charges.</w:t>
      </w:r>
    </w:p>
    <w:p>
      <w:pPr>
        <w:pStyle w:val="Heading2"/>
        <w:spacing w:after="100" w:before="240"/>
      </w:pPr>
      <w:r>
        <w:t xml:space="preserve">Article 8 — Retards de paiement</w:t>
      </w:r>
    </w:p>
    <w:p>
      <w:pPr>
        <w:spacing w:after="120" w:line="276"/>
        <w:jc w:val="both"/>
      </w:pPr>
      <w:r>
        <w:t xml:space="preserve">Tout montant dû par le locataire et non payé dix jours après son échéance produit de plein droit, sans mise en demeure, un intérêt de 0,5 % par mois au profit du bailleur à compter de l'échéance, tout mois commencé étant dû en entier.</w:t>
      </w:r>
    </w:p>
    <w:p>
      <w:pPr>
        <w:pStyle w:val="Heading2"/>
        <w:spacing w:after="100" w:before="240"/>
      </w:pPr>
      <w:r>
        <w:t xml:space="preserve">Article 9 — État des lieux</w:t>
      </w:r>
    </w:p>
    <w:p>
      <w:pPr>
        <w:spacing w:after="120" w:line="276"/>
        <w:jc w:val="both"/>
      </w:pPr>
      <w:r>
        <w:t xml:space="preserve">Un état des lieux d'entrée détaillé est dressé contradictoirement, à l'amiable ou par un expert désigné de commun accord, soit pendant la période où les locaux sont inoccupés, soit dans le premier mois de l'occupation. Cet état des lieux est </w:t>
      </w:r>
      <w:r>
        <w:rPr>
          <w:b/>
          <w:bCs/>
        </w:rPr>
        <w:t xml:space="preserve">annexé au présent bail</w:t>
      </w:r>
      <w:r>
        <w:t xml:space="preserve"> et en fait partie intégrante. Un état des lieux de sortie est dressé dans les mêmes conditions à la fin du bail. Les éventuels frais d'expert sont partagés par moitié entre les parties.</w:t>
      </w:r>
    </w:p>
    <w:p>
      <w:pPr>
        <w:pStyle w:val="Heading2"/>
        <w:spacing w:after="100" w:before="240"/>
      </w:pPr>
      <w:r>
        <w:t xml:space="preserve">Article 10 — Entretien et réparations</w:t>
      </w:r>
    </w:p>
    <w:p>
      <w:pPr>
        <w:pStyle w:val="ListParagraph"/>
        <w:numPr>
          <w:ilvl w:val="0"/>
          <w:numId w:val="3"/>
        </w:numPr>
        <w:spacing w:after="80"/>
        <w:jc w:val="both"/>
      </w:pPr>
      <w:r>
        <w:t xml:space="preserve">Le locataire occupe le logement en bon père de famille. Il assure à ses frais la réparation des dégâts dont il est responsable. Dans les communs, les dégâts dont la responsabilité ne peut être établie sont partagés entre les locataires concernés.</w:t>
      </w:r>
    </w:p>
    <w:p>
      <w:pPr>
        <w:pStyle w:val="ListParagraph"/>
        <w:numPr>
          <w:ilvl w:val="0"/>
          <w:numId w:val="3"/>
        </w:numPr>
        <w:spacing w:after="80"/>
        <w:jc w:val="both"/>
      </w:pPr>
      <w:r>
        <w:t xml:space="preserve">Le locataire signale immédiatement, par écrit, tout dégât dont la réparation incombe au bailleur. À défaut, il peut être tenu responsable de l'aggravation du dommage.</w:t>
      </w:r>
    </w:p>
    <w:p>
      <w:pPr>
        <w:pStyle w:val="ListParagraph"/>
        <w:numPr>
          <w:ilvl w:val="0"/>
          <w:numId w:val="3"/>
        </w:numPr>
        <w:spacing w:after="80"/>
        <w:jc w:val="both"/>
      </w:pPr>
      <w:r>
        <w:t xml:space="preserve">Les réparations rendues nécessaires par l'usure normale, la vétusté, un vice caché ou la force majeure sont à charge du bailleur.</w:t>
      </w:r>
    </w:p>
    <w:p>
      <w:pPr>
        <w:pStyle w:val="Heading2"/>
        <w:spacing w:after="100" w:before="240"/>
      </w:pPr>
      <w:r>
        <w:t xml:space="preserve">Article 11 — Modifications et transformations</w:t>
      </w:r>
    </w:p>
    <w:p>
      <w:pPr>
        <w:spacing w:after="120" w:line="276"/>
        <w:jc w:val="both"/>
      </w:pPr>
      <w:r>
        <w:t xml:space="preserve">Le locataire ne peut apporter aucune modification ni transformation au bien loué sans le consentement préalable et écrit du bailleur. Les travaux autorisés sont, sauf convention contraire, acquis sans indemnité au bailleur, qui conserve le droit d'exiger la remise des lieux dans leur état initial. Un avenant à l'état des lieux est dressé à l'issue de tout travail autorisé.</w:t>
      </w:r>
    </w:p>
    <w:p>
      <w:pPr>
        <w:pStyle w:val="Heading2"/>
        <w:spacing w:after="100" w:before="240"/>
      </w:pPr>
      <w:r>
        <w:t xml:space="preserve">Article 12 — Assurances</w:t>
      </w:r>
    </w:p>
    <w:p>
      <w:pPr>
        <w:spacing w:after="120" w:line="276"/>
        <w:jc w:val="both"/>
      </w:pPr>
      <w:r>
        <w:t xml:space="preserve">Le locataire fait assurer à ses frais, contre l'incendie et les risques locatifs qui lui incombent, son mobilier et le bien loué, et maintient cette assurance pendant toute la durée du bail.</w:t>
      </w:r>
    </w:p>
    <w:p>
      <w:pPr>
        <w:pStyle w:val="Heading2"/>
        <w:spacing w:after="100" w:before="240"/>
      </w:pPr>
      <w:r>
        <w:t xml:space="preserve">Article 13 — Cession de bail et sous-location</w:t>
      </w:r>
    </w:p>
    <w:p>
      <w:pPr>
        <w:spacing w:after="120" w:line="276"/>
        <w:jc w:val="both"/>
      </w:pPr>
      <w:r>
        <w:t xml:space="preserve">La cession du bail et la sous-location, totale ou partielle, sont interdites sauf accord préalable et écrit du bailleur.</w:t>
      </w:r>
    </w:p>
    <w:p>
      <w:pPr>
        <w:pStyle w:val="Heading2"/>
        <w:spacing w:after="100" w:before="240"/>
      </w:pPr>
      <w:r>
        <w:t xml:space="preserve">Article 14 — Performance énergétique</w:t>
      </w:r>
    </w:p>
    <w:p>
      <w:pPr>
        <w:spacing w:after="120" w:line="276"/>
        <w:jc w:val="both"/>
      </w:pPr>
      <w:r>
        <w:t xml:space="preserve">Conformément à la réglementation wallonne, le bailleur déclare avoir porté à la connaissance du locataire le certificat de performance énergétique des bâtiments (PEB) du logement. </w:t>
      </w:r>
      <w:r>
        <w:rPr>
          <w:i/>
          <w:iCs/>
        </w:rPr>
        <w:t xml:space="preserve">Référence du certificat PEB : {{bail.pebRef}}.</w:t>
      </w:r>
    </w:p>
    <w:p>
      <w:pPr>
        <w:pStyle w:val="Heading1"/>
        <w:spacing w:after="160" w:before="280"/>
      </w:pPr>
      <w:r>
        <w:t xml:space="preserve">Remarques particulières</w:t>
      </w:r>
    </w:p>
    <w:p>
      <w:pPr>
        <w:spacing w:after="120" w:line="276"/>
        <w:jc w:val="both"/>
      </w:pPr>
      <w:r>
        <w:t xml:space="preserve">Il est demandé au locataire d'être respectueux du voisinage, notamment en matière de bruit. Sauf accord explicite et préalable du bailleur, les fêtes ne sont pas autorisées dans la propriété.</w:t>
      </w:r>
    </w:p>
    <w:p>
      <w:pPr>
        <w:spacing w:after="120" w:line="276"/>
        <w:jc w:val="both"/>
      </w:pPr>
      <w:r>
        <w:rPr>
          <w:i/>
          <w:iCs/>
        </w:rPr>
        <w:t xml:space="preserve">{{bail.remarques}}</w:t>
      </w:r>
    </w:p>
    <w:p>
      <w:pPr>
        <w:spacing w:after="120" w:before="280"/>
        <w:jc w:val="both"/>
      </w:pPr>
      <w:r>
        <w:t xml:space="preserve">Fait à </w:t>
      </w:r>
      <w:r>
        <w:rPr>
          <w:b/>
          <w:bCs/>
        </w:rPr>
        <w:t xml:space="preserve">{{bail.lieuSignature}}</w:t>
      </w:r>
      <w:r>
        <w:t xml:space="preserve">, le </w:t>
      </w:r>
      <w:r>
        <w:rPr>
          <w:b/>
          <w:bCs/>
        </w:rPr>
        <w:t xml:space="preserve">{{bail.dateSignature}}</w:t>
      </w:r>
      <w:r>
        <w:t xml:space="preserve">, en deux exemplaires originaux, chaque partie reconnaissant avoir reçu le sien.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c>
          <w:tcPr>
            <w:tcW w:type="dxa" w:w="4653"/>
            <w:tcBorders>
              <w:top w:val="single" w:color="BFBFBF" w:sz="4"/>
              <w:left w:val="none"/>
              <w:bottom w:val="none"/>
              <w:right w:val="none"/>
            </w:tcBorders>
            <w:shd w:fill="EAF1F8" w:val="clear"/>
            <w:tcMar>
              <w:top w:type="dxa" w:w="100"/>
              <w:left w:type="dxa" w:w="140"/>
              <w:bottom w:type="dxa" w:w="100"/>
              <w:right w:type="dxa" w:w="140"/>
            </w:tcMar>
          </w:tcPr>
          <w:p>
            <w:pPr>
              <w:jc w:val="center"/>
            </w:pPr>
            <w:r>
              <w:rPr>
                <w:b/>
                <w:bCs/>
                <w:color w:val="1F4E79"/>
                <w:sz w:val="20"/>
                <w:szCs w:val="20"/>
              </w:rPr>
              <w:t xml:space="preserve">LE BAILLEUR</w:t>
            </w:r>
          </w:p>
        </w:tc>
        <w:tc>
          <w:tcPr>
            <w:tcW w:type="dxa" w:w="4653"/>
            <w:tcBorders>
              <w:top w:val="single" w:color="BFBFBF" w:sz="4"/>
              <w:left w:val="none"/>
              <w:bottom w:val="none"/>
              <w:right w:val="none"/>
            </w:tcBorders>
            <w:shd w:fill="EAF1F8" w:val="clear"/>
            <w:tcMar>
              <w:top w:type="dxa" w:w="100"/>
              <w:left w:type="dxa" w:w="140"/>
              <w:bottom w:type="dxa" w:w="100"/>
              <w:right w:type="dxa" w:w="140"/>
            </w:tcMar>
          </w:tcPr>
          <w:p>
            <w:pPr>
              <w:jc w:val="center"/>
            </w:pPr>
            <w:r>
              <w:rPr>
                <w:b/>
                <w:bCs/>
                <w:color w:val="1F4E79"/>
                <w:sz w:val="20"/>
                <w:szCs w:val="20"/>
              </w:rPr>
              <w:t xml:space="preserve">LE LOCATAIRE</w:t>
            </w:r>
          </w:p>
        </w:tc>
      </w:tr>
      <w:tr>
        <w:tc>
          <w:tcPr>
            <w:tcW w:type="dxa" w:w="4653"/>
            <w:tcBorders>
              <w:top w:val="none"/>
              <w:left w:val="none"/>
              <w:bottom w:val="none"/>
              <w:right w:val="none"/>
            </w:tcBorders>
            <w:tcMar>
              <w:top w:type="dxa" w:w="120"/>
              <w:left w:type="dxa" w:w="140"/>
              <w:bottom w:type="dxa" w:w="120"/>
              <w:right w:type="dxa" w:w="140"/>
            </w:tcMar>
          </w:tcPr>
          <w:p>
            <w:pPr>
              <w:spacing w:after="60"/>
            </w:pPr>
            <w:r>
              <w:rPr>
                <w:sz w:val="20"/>
                <w:szCs w:val="20"/>
              </w:rPr>
              <w:t xml:space="preserve">{{bailleur.nom}}</w:t>
            </w:r>
          </w:p>
          <w:p>
            <w:r>
              <w:rPr>
                <w:i/>
                <w:iCs/>
                <w:color w:val="595959"/>
                <w:sz w:val="18"/>
                <w:szCs w:val="18"/>
              </w:rPr>
              <w:t xml:space="preserve">Signé « lu et approuvé »</w:t>
            </w:r>
          </w:p>
          <w:p>
            <w:pPr>
              <w:spacing w:before="480"/>
            </w:pPr>
            <w:r>
              <w:rPr>
                <w:color w:val="595959"/>
                <w:sz w:val="18"/>
                <w:szCs w:val="18"/>
              </w:rPr>
              <w:t xml:space="preserve">_______________________</w:t>
            </w:r>
          </w:p>
        </w:tc>
        <w:tc>
          <w:tcPr>
            <w:tcW w:type="dxa" w:w="4653"/>
            <w:tcBorders>
              <w:top w:val="none"/>
              <w:left w:val="none"/>
              <w:bottom w:val="none"/>
              <w:right w:val="none"/>
            </w:tcBorders>
            <w:tcMar>
              <w:top w:type="dxa" w:w="120"/>
              <w:left w:type="dxa" w:w="140"/>
              <w:bottom w:type="dxa" w:w="120"/>
              <w:right w:type="dxa" w:w="140"/>
            </w:tcMar>
          </w:tcPr>
          <w:p>
            <w:pPr>
              <w:spacing w:after="60"/>
            </w:pPr>
            <w:r>
              <w:rPr>
                <w:sz w:val="20"/>
                <w:szCs w:val="20"/>
              </w:rPr>
              <w:t xml:space="preserve">{{loc.prenom}} {{loc.nom}}</w:t>
            </w:r>
          </w:p>
          <w:p>
            <w:r>
              <w:rPr>
                <w:i/>
                <w:iCs/>
                <w:color w:val="595959"/>
                <w:sz w:val="18"/>
                <w:szCs w:val="18"/>
              </w:rPr>
              <w:t xml:space="preserve">Signé « lu et approuvé »</w:t>
            </w:r>
          </w:p>
          <w:p>
            <w:pPr>
              <w:spacing w:before="480"/>
            </w:pPr>
            <w:r>
              <w:rPr>
                <w:color w:val="595959"/>
                <w:sz w:val="18"/>
                <w:szCs w:val="18"/>
              </w:rPr>
              <w:t xml:space="preserve">_______________________</w:t>
            </w:r>
          </w:p>
        </w:tc>
      </w:tr>
    </w:tbl>
    <w:p>
      <w:pPr>
        <w:spacing w:before="200"/>
        <w:jc w:val="center"/>
      </w:pPr>
      <w:r>
        <w:rPr>
          <w:i/>
          <w:iCs/>
          <w:color w:val="595959"/>
          <w:sz w:val="18"/>
          <w:szCs w:val="18"/>
        </w:rPr>
        <w:t xml:space="preserve">Annexe obligatoire : état des lieux d'entrée</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Bail – {{loc.prenom}} {{loc.nom}}  ·  page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306"/>
      </w:tabs>
    </w:pPr>
    <w:r>
      <w:rPr>
        <w:b/>
        <w:bCs/>
        <w:color w:val="1F4E79"/>
        <w:sz w:val="16"/>
        <w:szCs w:val="16"/>
      </w:rPr>
      <w:t xml:space="preserve">CONTRAT DE BAIL</w:t>
    </w:r>
    <w:r>
      <w:rPr>
        <w:color w:val="595959"/>
        <w:sz w:val="16"/>
        <w:szCs w:val="16"/>
      </w:rPr>
      <w:t xml:space="preserve">	{{lgt.adresse}}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abstractNum>
  <w:abstractNum w:abstractNumId="3"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3"/>
      </w:pBdr>
      <w:spacing w:after="160" w:before="280"/>
      <w:outlineLvl w:val="0"/>
    </w:pPr>
    <w:rPr>
      <w:rFonts w:ascii="Calibri" w:cs="Calibri" w:eastAsia="Calibri" w:hAnsi="Calibri"/>
      <w:b/>
      <w:bCs/>
      <w:color w:val="1F4E79"/>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bail</dc:title>
  <dc:creator>Keystone</dc:creator>
  <cp:lastModifiedBy>Un-named</cp:lastModifiedBy>
  <cp:revision>1</cp:revision>
  <dcterms:created xsi:type="dcterms:W3CDTF">2026-05-16T11:11:11.593Z</dcterms:created>
  <dcterms:modified xsi:type="dcterms:W3CDTF">2026-05-16T11:11:11.593Z</dcterms:modified>
</cp:coreProperties>
</file>

<file path=docProps/custom.xml><?xml version="1.0" encoding="utf-8"?>
<Properties xmlns="http://schemas.openxmlformats.org/officeDocument/2006/custom-properties" xmlns:vt="http://schemas.openxmlformats.org/officeDocument/2006/docPropsVTypes"/>
</file>