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Profil Zusammenfassung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Mit langjähriger Erfahrung als Programmierer konzentriere ich mich auf die Verbesserung von Software und die Betreuung globaler IT-Teams. Als Brückenbauer strebe ich danach, Unternehmen durch effektive IT-Lösungen und Zusammenarbeit zu transformieren.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Sprachen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Niederländisch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Englisch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Deutsch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Persönliche Interessen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Heimautomatisierung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Python-Entwicklung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Open-Source-Beiträge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Erneuerbare Energie und Nachhaltigkeit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Persönliche Aktivitäten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Wandern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Indoor-Rudern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Ehrenamtlicher Energiecoach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Kontakt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https://theovandersluijs.de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Dies ist das „TL;DR“ meines Lebenslaufs. Für meinen vollständigen Lebenslauf möchte ich Sie auf LinkedIn oder meine Lebenslauf-Website verweisen.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Produktmanager / Inhaber | Agile Coach | Python-Entwickler | Nachhaltigkeitsberater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https://theovandersluijs.de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Berufserfahrung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Gegenwart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Indien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Projektmanagement, Teamführung, Softwareentwicklung, Agile Methoden, Product Owner, DAC7-Gesetzgebung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Projektmanagement, Projektplanung, Product Owner, Analytische Fähigkeiten, Geschäftsanalyse, Teamführung, Agile Methoden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Projektmanager / Operativer Leiter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Teamführung, Projektmanagement, Betriebsmanagement, Agile Methoden,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IT Development Manager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Indien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Fähigkeiten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IT-Management, Projektmanagement, Projektplanung, IT-Betrieb, Teamführung, Softwareentwicklung, Agile Methoden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Weitere Berufserfahrungen finden Sie auf meiner LinkedIn-Seite 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Ausbildung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Gestaltung und Interaktionsdesign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Informatik &amp; Unternehmensverwaltung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Technische Fähigkeiten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Lotus Notes Formulas, LotusScript, ABAP-OO, Flex2.0, Product Owner, PDF Form Script, VisualBasic, PHP, ASP Classic, Python, ActionScript, Bash, Raspberry Pi, Home Automation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Zertifikate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Senior Executive Management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