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Profile Summary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With years of experience as a programmer, I focus on improving software and guiding global IT teams. As a bridge builder, I aim to transform businesses through effective IT solutions and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Languages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Dutch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German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Interests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Home Automation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 development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 contributions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Renewable energy &amp; Sustainability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Personal Activities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Hiking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 Rowing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Energy Coach Volunteer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This is the 'TL;DR' of my resume, for my complete resume I would like to refer you to LinkedIn or my resume site.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Python Developer | Sustainability Advisor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Work Experience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Present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Team Leadership, Software Development, Agile Methodologies, Product Owner, DAC7 Legislation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Project Management, Project Planning, Product Owner, Analytical Skills, Business Analysis, Team Leadership, Agile Methodologies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Project Manager / Operational Lead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 Leadership, Project Management, Operations Management, Agile Methodologies,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Skills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 Management, Project Management, Project Planning, IT Operations, Team Leadership, Software Development, Agile Methodologies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More work experience can be found on my LinkedIn page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and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Computer Science &amp; Business Administration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Technical Skills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Certificates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