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Profiel samenvatting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Met jarenlange ervaring als programmeur richt ik mij op het verbeteren van software en het begeleiden van wereldwijde IT-teams. Als bruggenbouwer streef ik ernaar bedrijven te transformeren door middel van effectieve IT-oplossingen en samenwerking.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Talen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Nederlands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Engels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Duits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Persoonlijke interesses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Domotica / Home Assistant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Python-ontwikkeling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 source-bijdragen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Hernieuwbare energie en duurzaamheid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Hobby’s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roeien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Vrijwilliger /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https://theovandersluijs.nl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Dit is de „TL;DR“ van mijn CV, voor mijn volledige CV verwijs ik u graag door naar linkedin of mijn cv-site.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Owner / Manager | Senior Developer &amp; Tech Nerd | Verduurzamer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https://theovandersluijs.nl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Werkervaring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Heden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DAC7-wetgeving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Meer werkervaring vind je op mijn LinkedIn-pagina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Opleiding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Vormgeving en Ontwerp van Interactie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Informatica &amp; Bedrijfsadministratie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vaardigheden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Certificaten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