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ahnschrift SemiBold" w:hAnsi="Bahnschrift SemiBold" w:cs="Bahnschrift SemiBold"/>
          <w:sz w:val="32"/>
          <w:szCs w:val="32"/>
          <w:vertAlign w:val="baseline"/>
          <w:lang w:val="en-US"/>
        </w:rPr>
      </w:pPr>
    </w:p>
    <w:tbl>
      <w:tblPr>
        <w:tblStyle w:val="4"/>
        <w:tblpPr w:leftFromText="180" w:rightFromText="180" w:vertAnchor="page" w:horzAnchor="page" w:tblpX="864" w:tblpY="2016"/>
        <w:tblOverlap w:val="never"/>
        <w:tblW w:w="15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5"/>
        <w:gridCol w:w="10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  <w:lang w:val="en-US"/>
              </w:rPr>
              <w:t>Repo Prefix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000000"/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  <w:t>Repo Type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Bahnschrift SemiBold" w:hAnsi="Bahnschrift SemiBold" w:cs="Bahnschrift SemiBold"/>
                <w:color w:val="FFFFFF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ROSRobotics_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Robotics 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&amp;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Robotics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</w:rPr>
              <w:t>CarlaSim_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Self Driving Cars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using the Carla Simulator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PathPlanning_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Path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MotionPlanning_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Motion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HKBOT_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My Custom Made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Mobile Robot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w/ Jetson Nano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3DVision_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3D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Reconstruction,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Depth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Maps, Point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Clouds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OpenCV_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C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omputer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V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ision and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I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mage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P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>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VisionAI_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C0504D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Projects on </w:t>
            </w:r>
            <w:r>
              <w:rPr>
                <w:rFonts w:hint="default" w:ascii="Cascadia Code" w:hAnsi="Cascadia Code"/>
                <w:color w:val="FFFFFF"/>
                <w:sz w:val="28"/>
                <w:szCs w:val="28"/>
                <w:vertAlign w:val="baseline"/>
              </w:rPr>
              <w:t>➙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</w:rPr>
              <w:t xml:space="preserve"> The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State-of-Art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</w:rPr>
              <w:t xml:space="preserve">Deep Learning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</w:rPr>
              <w:t>Models</w:t>
            </w:r>
            <w:r>
              <w:rPr>
                <w:rFonts w:hint="default" w:ascii="Cascadia Code" w:hAnsi="Cascadia Code" w:cs="Cascadia Code"/>
                <w:b w:val="0"/>
                <w:bCs w:val="0"/>
                <w:color w:val="FFFFFF"/>
                <w:sz w:val="28"/>
                <w:szCs w:val="28"/>
                <w:vertAlign w:val="baseline"/>
                <w:lang w:val="en-US"/>
              </w:rPr>
              <w:t xml:space="preserve"> for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655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jc w:val="both"/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40"/>
                <w:szCs w:val="40"/>
                <w:vertAlign w:val="baseline"/>
                <w:lang w:val="en-US"/>
              </w:rPr>
              <w:t>HKCore_</w:t>
            </w:r>
          </w:p>
        </w:tc>
        <w:tc>
          <w:tcPr>
            <w:tcW w:w="10782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shd w:val="clear" w:color="auto" w:fill="993E3C"/>
            <w:vAlign w:val="center"/>
          </w:tcPr>
          <w:p>
            <w:pPr>
              <w:widowControl w:val="0"/>
              <w:numPr>
                <w:ilvl w:val="-4"/>
                <w:numId w:val="0"/>
              </w:numPr>
              <w:spacing w:line="240" w:lineRule="auto"/>
              <w:ind w:left="0" w:leftChars="0"/>
              <w:jc w:val="both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 xml:space="preserve">Big Comprehensive Robotics &amp; </w:t>
            </w:r>
            <w:r>
              <w:rPr>
                <w:rFonts w:hint="default" w:ascii="Cascadia Code" w:hAnsi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Autonomous Vehicle Projects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720" w:right="144" w:bottom="144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65823"/>
    <w:rsid w:val="06BF391E"/>
    <w:rsid w:val="14B51486"/>
    <w:rsid w:val="154E4EF0"/>
    <w:rsid w:val="2E665823"/>
    <w:rsid w:val="555D03B3"/>
    <w:rsid w:val="56827DFA"/>
    <w:rsid w:val="68D8170E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2023-11-16T07:19:00Z</dcterms:created>
  <dc:creator>hari krishna</dc:creator>
  <cp:lastModifiedBy>T V HARI KRISHNA</cp:lastModifiedBy>
  <dcterms:modified xsi:type="dcterms:W3CDTF">2023-12-27T05:16:28Z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