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1636A" w14:textId="2E1FB11A" w:rsidR="00BB414E" w:rsidRDefault="00BB414E" w:rsidP="00AC7781">
      <w:pPr>
        <w:jc w:val="center"/>
        <w:rPr>
          <w:lang w:val="en-GB"/>
        </w:rPr>
      </w:pPr>
      <w:r>
        <w:rPr>
          <w:noProof/>
          <w:lang w:eastAsia="en-IN"/>
        </w:rPr>
        <w:drawing>
          <wp:inline distT="0" distB="0" distL="0" distR="0" wp14:anchorId="10D9F2E3" wp14:editId="2158C951">
            <wp:extent cx="2343150" cy="7640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68805" cy="772437"/>
                    </a:xfrm>
                    <a:prstGeom prst="rect">
                      <a:avLst/>
                    </a:prstGeom>
                    <a:noFill/>
                    <a:ln>
                      <a:noFill/>
                    </a:ln>
                  </pic:spPr>
                </pic:pic>
              </a:graphicData>
            </a:graphic>
          </wp:inline>
        </w:drawing>
      </w:r>
    </w:p>
    <w:p>
      <w:pPr>
        <w:spacing w:before="0" w:after="0" w:line="276" w:lineRule="auto"/>
        <w:jc w:val="center"/>
      </w:pPr>
      <w:r>
        <w:rPr>
          <w:sz w:val="24"/>
          <w:szCs w:val="24"/>
          <w:lang w:val="en-GB"/>
        </w:rPr>
        <w:t xml:space="preserve">School of Electronics Engineering</w:t>
      </w:r>
    </w:p>
    <w:p>
      <w:pPr>
        <w:spacing w:before="0" w:after="0" w:line="276" w:lineRule="auto"/>
        <w:jc w:val="center"/>
      </w:pPr>
      <w:r>
        <w:rPr>
          <w:sz w:val="24"/>
          <w:szCs w:val="24"/>
          <w:lang w:val="en-GB"/>
        </w:rPr>
        <w:t xml:space="preserve">Department of Sensor and Biomedical Technology</w:t>
      </w:r>
    </w:p>
    <w:p>
      <w:pPr>
        <w:spacing w:before="0" w:after="600" w:line="276" w:lineRule="auto"/>
        <w:jc w:val="center"/>
      </w:pPr>
    </w:p>
    <w:p>
      <w:pPr>
        <w:spacing w:before="0" w:after="60" w:line="276" w:lineRule="auto"/>
        <w:jc w:val="center"/>
      </w:pPr>
      <w:r>
        <w:rPr>
          <w:sz w:val="24"/>
          <w:szCs w:val="24"/>
          <w:lang w:val="en-GB"/>
        </w:rPr>
        <w:t xml:space="preserve">Course Project Fall semester 2026-2027</w:t>
      </w:r>
    </w:p>
    <w:p>
      <w:pPr>
        <w:spacing w:before="0" w:after="900" w:line="276" w:lineRule="auto"/>
        <w:jc w:val="center"/>
      </w:pPr>
      <w:r>
        <w:rPr>
          <w:sz w:val="24"/>
          <w:szCs w:val="24"/>
          <w:lang w:val="en-GB"/>
        </w:rPr>
        <w:t xml:space="preserve">BBMD203L – Medical Image Analysis (MIA)</w:t>
      </w:r>
    </w:p>
    <w:p>
      <w:pPr>
        <w:spacing w:before="0" w:after="900" w:line="276" w:lineRule="auto"/>
        <w:jc w:val="center"/>
      </w:pPr>
      <w:r>
        <w:rPr>
          <w:b/>
          <w:sz w:val="32"/>
          <w:szCs w:val="32"/>
          <w:lang w:val="en-GB"/>
        </w:rPr>
        <w:t xml:space="preserve">APSE: ADAPTIVE CONTEXT-AWARE FRAMEWORK FOR INTELLIGENT MEDICAL IMAGE PROCESSING PIPELINE SELECTION</w:t>
      </w:r>
    </w:p>
    <w:p>
      <w:pPr>
        <w:spacing w:before="0" w:after="120" w:line="276" w:lineRule="auto"/>
        <w:jc w:val="center"/>
      </w:pPr>
      <w:r>
        <w:rPr>
          <w:b/>
          <w:sz w:val="24"/>
          <w:szCs w:val="24"/>
          <w:lang w:val="en-GB"/>
        </w:rPr>
        <w:t xml:space="preserve">Team members with registration number</w:t>
      </w:r>
    </w:p>
    <w:p>
      <w:pPr>
        <w:spacing w:before="0" w:after="40" w:line="276" w:lineRule="auto"/>
        <w:jc w:val="center"/>
      </w:pPr>
      <w:r>
        <w:rPr>
          <w:highlight w:val="yellow"/>
          <w:sz w:val="24"/>
          <w:szCs w:val="24"/>
          <w:lang w:val="en-GB"/>
        </w:rPr>
        <w:t xml:space="preserve">[Name 1] – [Registration No.]</w:t>
      </w:r>
    </w:p>
    <w:p>
      <w:pPr>
        <w:spacing w:before="0" w:after="40" w:line="276" w:lineRule="auto"/>
        <w:jc w:val="center"/>
      </w:pPr>
      <w:r>
        <w:rPr>
          <w:highlight w:val="yellow"/>
          <w:sz w:val="24"/>
          <w:szCs w:val="24"/>
          <w:lang w:val="en-GB"/>
        </w:rPr>
        <w:t xml:space="preserve">[Name 2] – [Registration No.]</w:t>
      </w:r>
    </w:p>
    <w:p>
      <w:pPr>
        <w:spacing w:before="0" w:after="700" w:line="276" w:lineRule="auto"/>
        <w:jc w:val="center"/>
      </w:pPr>
      <w:r>
        <w:rPr>
          <w:highlight w:val="yellow"/>
          <w:sz w:val="24"/>
          <w:szCs w:val="24"/>
          <w:lang w:val="en-GB"/>
        </w:rPr>
        <w:t xml:space="preserve">[Name 3] – [Registration No.]</w:t>
      </w:r>
    </w:p>
    <w:p>
      <w:pPr>
        <w:spacing w:before="0" w:after="0" w:line="276" w:lineRule="auto"/>
        <w:jc w:val="center"/>
      </w:pPr>
      <w:r>
        <w:rPr>
          <w:sz w:val="24"/>
          <w:szCs w:val="24"/>
          <w:lang w:val="en-GB"/>
        </w:rPr>
        <w:t xml:space="preserve">October 2026</w:t>
      </w:r>
    </w:p>
    <w:p>
      <w:pPr>
        <w:pStyle w:val="Heading1"/>
        <w:keepNext/>
        <w:pageBreakBefore/>
        <w:spacing w:before="240" w:after="120"/>
      </w:pPr>
      <w:r>
        <w:rPr>
          <w:b/>
          <w:color w:val="000000"/>
          <w:sz w:val="28"/>
          <w:szCs w:val="28"/>
          <w:lang w:val="en-GB"/>
        </w:rPr>
        <w:t xml:space="preserve">Abstract</w:t>
      </w:r>
    </w:p>
    <w:p>
      <w:pPr>
        <w:spacing w:before="0" w:after="120" w:line="276" w:lineRule="auto"/>
        <w:jc w:val="both"/>
      </w:pPr>
      <w:r>
        <w:rPr>
          <w:sz w:val="22"/>
          <w:szCs w:val="22"/>
          <w:lang w:val="en-GB"/>
        </w:rPr>
        <w:t xml:space="preserve">Medical image quality plays an important role in the visual interpretation and subsequent analysis of medical images. Degradation caused by noise, blurring, and reduced contrast can affect the visibility of anatomical structures and influence the performance of image-processing techniques. Since different degradation types may respond differently to enhancement methods, selecting an appropriate processing technique is an important consideration in medical image enhancement.</w:t>
      </w:r>
    </w:p>
    <w:p>
      <w:pPr>
        <w:spacing w:before="0" w:after="120" w:line="276" w:lineRule="auto"/>
        <w:jc w:val="both"/>
      </w:pPr>
      <w:r>
        <w:rPr>
          <w:sz w:val="22"/>
          <w:szCs w:val="22"/>
          <w:lang w:val="en-GB"/>
        </w:rPr>
        <w:t xml:space="preserve">This project presents APSE (Adaptive Context-Aware Framework for Intelligent Medical Image Processing Pipeline Selection), a framework developed to investigate degradation-aware enhancement of T1-weighted brain magnetic resonance imaging (MRI) slices. The study uses preprocessed MRI data from the IXI dataset and generates four types of synthetic degradation: Gaussian noise, Rician noise, Gaussian blur, and reduced contrast. Seven image-quality features are extracted from degraded images and used by a Random Forest classifier to predict the degradation category.</w:t>
      </w:r>
    </w:p>
    <w:p>
      <w:pPr>
        <w:spacing w:before="0" w:after="120" w:line="276" w:lineRule="auto"/>
        <w:jc w:val="both"/>
      </w:pPr>
      <w:r>
        <w:rPr>
          <w:sz w:val="22"/>
          <w:szCs w:val="22"/>
          <w:lang w:val="en-GB"/>
        </w:rPr>
        <w:t xml:space="preserve">Seven image-processing methods are investigated: Identity, Gaussian filtering, median filtering, bilateral filtering, contrast stretching, Contrast Limited Adaptive Histogram Equalization (CLAHE), and unsharp masking. In the updated experimental approach, the outputs of all seven methods are compared against their corresponding clean reference images using Mean Absolute Error (MAE), Peak Signal-to-Noise Ratio (PSNR), and Structural Similarity Index (SSIM). A reference-based selection rule identifies the best-performing candidate for each evaluated sample.</w:t>
      </w:r>
    </w:p>
    <w:p>
      <w:pPr>
        <w:spacing w:before="0" w:after="120" w:line="276" w:lineRule="auto"/>
        <w:jc w:val="both"/>
      </w:pPr>
      <w:r>
        <w:rPr>
          <w:sz w:val="22"/>
          <w:szCs w:val="22"/>
          <w:lang w:val="en-GB"/>
        </w:rPr>
        <w:t xml:space="preserve">The project establishes an experimental framework for analysing the relationship between image degradation, enhancement techniques, and reference-based image-quality measurements. The findings are intended to support further investigation into adaptive enhancement strategies. However, since the degradations are synthetically generated and clean references are required for candidate selection, additional validation is necessary before the approach can be applied as an independent clinical enhancement system.</w:t>
      </w:r>
    </w:p>
    <w:p>
      <w:pPr>
        <w:spacing w:before="0" w:after="120" w:line="276" w:lineRule="auto"/>
        <w:jc w:val="both"/>
      </w:pPr>
      <w:r>
        <w:rPr>
          <w:b/>
          <w:sz w:val="22"/>
          <w:szCs w:val="22"/>
          <w:lang w:val="en-GB"/>
        </w:rPr>
        <w:t xml:space="preserve">Keywords:</w:t>
      </w:r>
      <w:r>
        <w:rPr>
          <w:sz w:val="22"/>
          <w:szCs w:val="22"/>
          <w:lang w:val="en-GB"/>
        </w:rPr>
        <w:t xml:space="preserve"> Medical Image Processing, MRI Enhancement, Random Forest, Image Quality Assessment, Image Denoising, Adaptive Enhancement, APSE.</w:t>
      </w:r>
    </w:p>
    <w:p>
      <w:pPr>
        <w:pStyle w:val="Heading1"/>
        <w:keepNext/>
        <w:spacing w:before="240" w:after="120"/>
      </w:pPr>
      <w:r>
        <w:rPr>
          <w:b/>
          <w:color w:val="000000"/>
          <w:sz w:val="28"/>
          <w:szCs w:val="28"/>
          <w:lang w:val="en-GB"/>
        </w:rPr>
        <w:t xml:space="preserve">1. Literature Survey</w:t>
      </w:r>
    </w:p>
    <w:p>
      <w:pPr>
        <w:pStyle w:val="Heading2"/>
        <w:keepNext/>
        <w:spacing w:before="160" w:after="80"/>
      </w:pPr>
      <w:r>
        <w:rPr>
          <w:b/>
          <w:color w:val="000000"/>
          <w:sz w:val="24"/>
          <w:szCs w:val="24"/>
          <w:lang w:val="en-GB"/>
        </w:rPr>
        <w:t xml:space="preserve">1.1 Medical Image Enhancement</w:t>
      </w:r>
    </w:p>
    <w:p>
      <w:pPr>
        <w:spacing w:before="0" w:after="120" w:line="276" w:lineRule="auto"/>
        <w:jc w:val="both"/>
      </w:pPr>
      <w:r>
        <w:rPr>
          <w:sz w:val="22"/>
          <w:szCs w:val="22"/>
          <w:lang w:val="en-GB"/>
        </w:rPr>
        <w:t xml:space="preserve">Medical image enhancement aims to improve selected image characteristics, such as contrast, edge visibility, or noise levels. Conventional enhancement methods remain widely studied because they are computationally accessible and can be applied to many imaging tasks. However, enhancement involves a trade-off between reducing unwanted variations and preserving meaningful image details. The performance of a method depends on the degradation, image content, and parameters used.</w:t>
      </w:r>
    </w:p>
    <w:p>
      <w:pPr>
        <w:pStyle w:val="Heading2"/>
        <w:keepNext/>
        <w:spacing w:before="160" w:after="80"/>
      </w:pPr>
      <w:r>
        <w:rPr>
          <w:b/>
          <w:color w:val="000000"/>
          <w:sz w:val="24"/>
          <w:szCs w:val="24"/>
          <w:lang w:val="en-GB"/>
        </w:rPr>
        <w:t xml:space="preserve">1.2 Filtering-Based Enhancement</w:t>
      </w:r>
    </w:p>
    <w:p>
      <w:pPr>
        <w:spacing w:before="0" w:after="120" w:line="276" w:lineRule="auto"/>
        <w:jc w:val="both"/>
      </w:pPr>
      <w:r>
        <w:rPr>
          <w:sz w:val="22"/>
          <w:szCs w:val="22"/>
          <w:lang w:val="en-GB"/>
        </w:rPr>
        <w:t xml:space="preserve">Gaussian filtering reduces high-frequency image variations by applying a Gaussian smoothing kernel. It is relatively simple but may blur anatomical boundaries. Median filtering replaces each pixel with the median of its neighbourhood; it is effective for certain impulsive noise patterns and can preserve edges better than some linear smoothing filters, although its effectiveness depends on the noise characteristics.</w:t>
      </w:r>
    </w:p>
    <w:p>
      <w:pPr>
        <w:spacing w:before="0" w:after="120" w:line="276" w:lineRule="auto"/>
        <w:jc w:val="both"/>
      </w:pPr>
      <w:r>
        <w:rPr>
          <w:sz w:val="22"/>
          <w:szCs w:val="22"/>
          <w:lang w:val="en-GB"/>
        </w:rPr>
        <w:t xml:space="preserve">Bilateral filtering combines spatial proximity and intensity similarity when calculating local weighted averages, allowing it to smooth relatively homogeneous regions while attempting to preserve edges. Unsharp masking enhances local detail by combining the original image with a high-frequency component derived from a smoothed image. Although it can increase perceived sharpness, it may also amplify noise or generate overshoot near edges.</w:t>
      </w:r>
    </w:p>
    <w:p>
      <w:pPr>
        <w:pStyle w:val="Heading2"/>
        <w:keepNext/>
        <w:spacing w:before="160" w:after="80"/>
      </w:pPr>
      <w:r>
        <w:rPr>
          <w:b/>
          <w:color w:val="000000"/>
          <w:sz w:val="24"/>
          <w:szCs w:val="24"/>
          <w:lang w:val="en-GB"/>
        </w:rPr>
        <w:t xml:space="preserve">1.3 Contrast Enhancement</w:t>
      </w:r>
    </w:p>
    <w:p>
      <w:pPr>
        <w:spacing w:before="0" w:after="120" w:line="276" w:lineRule="auto"/>
        <w:jc w:val="both"/>
      </w:pPr>
      <w:r>
        <w:rPr>
          <w:sz w:val="22"/>
          <w:szCs w:val="22"/>
          <w:lang w:val="en-GB"/>
        </w:rPr>
        <w:t xml:space="preserve">Contrast stretching expands an image's intensity range, making differences between intensity levels more visible; its effectiveness depends on the selected intensity limits. Contrast Limited Adaptive Histogram Equalization (CLAHE) improves local contrast by applying histogram equalization within local regions and limiting excessive histogram amplification. CLAHE can reveal local intensity variations, but it may also increase the visibility of noise or introduce an unnatural appearance when its parameters are unsuitable.</w:t>
      </w:r>
    </w:p>
    <w:p>
      <w:pPr>
        <w:pStyle w:val="Heading2"/>
        <w:keepNext/>
        <w:spacing w:before="160" w:after="80"/>
      </w:pPr>
      <w:r>
        <w:rPr>
          <w:b/>
          <w:color w:val="000000"/>
          <w:sz w:val="24"/>
          <w:szCs w:val="24"/>
          <w:lang w:val="en-GB"/>
        </w:rPr>
        <w:t xml:space="preserve">1.4 Machine Learning for Image-Quality Analysis</w:t>
      </w:r>
    </w:p>
    <w:p>
      <w:pPr>
        <w:spacing w:before="0" w:after="120" w:line="276" w:lineRule="auto"/>
        <w:jc w:val="both"/>
      </w:pPr>
      <w:r>
        <w:rPr>
          <w:sz w:val="22"/>
          <w:szCs w:val="22"/>
          <w:lang w:val="en-GB"/>
        </w:rPr>
        <w:t xml:space="preserve">Machine-learning algorithms can learn relationships between numerical image features and predefined image categories. Random Forest is an ensemble-learning method that combines predictions from multiple decision trees. In image-quality analysis, features related to intensity distribution, entropy, gradients, edge structure, and noise can provide information about the characteristics of an image, and can be used as inputs to a classifier trained on labelled examples.</w:t>
      </w:r>
    </w:p>
    <w:p>
      <w:pPr>
        <w:spacing w:before="0" w:after="120" w:line="276" w:lineRule="auto"/>
        <w:jc w:val="both"/>
      </w:pPr>
      <w:r>
        <w:rPr>
          <w:sz w:val="22"/>
          <w:szCs w:val="22"/>
          <w:lang w:val="en-GB"/>
        </w:rPr>
        <w:t xml:space="preserve">However, classifier performance depends on the dataset, the feature definitions, and the representativeness of the training and testing samples. Strong performance on synthetically generated data does not necessarily imply equivalent performance on real clinical images.</w:t>
      </w:r>
    </w:p>
    <w:p>
      <w:pPr>
        <w:pStyle w:val="Heading2"/>
        <w:keepNext/>
        <w:spacing w:before="160" w:after="80"/>
      </w:pPr>
      <w:r>
        <w:rPr>
          <w:b/>
          <w:color w:val="000000"/>
          <w:sz w:val="24"/>
          <w:szCs w:val="24"/>
          <w:lang w:val="en-GB"/>
        </w:rPr>
        <w:t xml:space="preserve">1.5 Summary of Recent Relevant Papers</w:t>
      </w:r>
    </w:p>
    <w:p>
      <w:pPr>
        <w:spacing w:before="0" w:after="80" w:line="276" w:lineRule="auto"/>
        <w:jc w:val="both"/>
      </w:pPr>
      <w:r>
        <w:rPr>
          <w:sz w:val="22"/>
          <w:szCs w:val="22"/>
          <w:lang w:val="en-GB"/>
        </w:rPr>
        <w:t xml:space="preserve">The table below is reserved for the ten recent relevant papers required by the report format.</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00"/>
        <w:gridCol w:w="1900"/>
        <w:gridCol w:w="2300"/>
        <w:gridCol w:w="2500"/>
        <w:gridCol w:w="1726"/>
      </w:tblGrid>
      <w:tr>
        <w:trPr>
          <w:cantSplit/>
          <w:tblHeader/>
        </w:trPr>
        <w:tc>
          <w:tcPr>
            <w:tcW w:w="600" w:type="dxa"/>
            <w:shd w:val="clear" w:color="auto" w:fill="D9E2F3"/>
          </w:tcPr>
          <w:p>
            <w:pPr>
              <w:spacing w:before="40" w:after="40"/>
              <w:jc w:val="center"/>
            </w:pPr>
            <w:r>
              <w:rPr>
                <w:b/>
                <w:sz w:val="20"/>
                <w:szCs w:val="20"/>
                <w:lang w:val="en-GB"/>
              </w:rPr>
              <w:t xml:space="preserve">No.</w:t>
            </w:r>
          </w:p>
        </w:tc>
        <w:tc>
          <w:tcPr>
            <w:tcW w:w="1900" w:type="dxa"/>
            <w:shd w:val="clear" w:color="auto" w:fill="D9E2F3"/>
          </w:tcPr>
          <w:p>
            <w:pPr>
              <w:spacing w:before="40" w:after="40"/>
              <w:jc w:val="center"/>
            </w:pPr>
            <w:r>
              <w:rPr>
                <w:b/>
                <w:sz w:val="20"/>
                <w:szCs w:val="20"/>
                <w:lang w:val="en-GB"/>
              </w:rPr>
              <w:t xml:space="preserve">Authors, Year</w:t>
            </w:r>
          </w:p>
        </w:tc>
        <w:tc>
          <w:tcPr>
            <w:tcW w:w="2300" w:type="dxa"/>
            <w:shd w:val="clear" w:color="auto" w:fill="D9E2F3"/>
          </w:tcPr>
          <w:p>
            <w:pPr>
              <w:spacing w:before="40" w:after="40"/>
              <w:jc w:val="center"/>
            </w:pPr>
            <w:r>
              <w:rPr>
                <w:b/>
                <w:sz w:val="20"/>
                <w:szCs w:val="20"/>
                <w:lang w:val="en-GB"/>
              </w:rPr>
              <w:t xml:space="preserve">Method / Dataset</w:t>
            </w:r>
          </w:p>
        </w:tc>
        <w:tc>
          <w:tcPr>
            <w:tcW w:w="2500" w:type="dxa"/>
            <w:shd w:val="clear" w:color="auto" w:fill="D9E2F3"/>
          </w:tcPr>
          <w:p>
            <w:pPr>
              <w:spacing w:before="40" w:after="40"/>
              <w:jc w:val="center"/>
            </w:pPr>
            <w:r>
              <w:rPr>
                <w:b/>
                <w:sz w:val="20"/>
                <w:szCs w:val="20"/>
                <w:lang w:val="en-GB"/>
              </w:rPr>
              <w:t xml:space="preserve">Key findings</w:t>
            </w:r>
          </w:p>
        </w:tc>
        <w:tc>
          <w:tcPr>
            <w:tcW w:w="1726" w:type="dxa"/>
            <w:shd w:val="clear" w:color="auto" w:fill="D9E2F3"/>
          </w:tcPr>
          <w:p>
            <w:pPr>
              <w:spacing w:before="40" w:after="40"/>
              <w:jc w:val="center"/>
            </w:pPr>
            <w:r>
              <w:rPr>
                <w:b/>
                <w:sz w:val="20"/>
                <w:szCs w:val="20"/>
                <w:lang w:val="en-GB"/>
              </w:rPr>
              <w:t xml:space="preserve">Relevance to APSE</w:t>
            </w:r>
          </w:p>
        </w:tc>
      </w:tr>
      <w:tr>
        <w:trPr>
          <w:cantSplit/>
        </w:trPr>
        <w:tc>
          <w:tcPr>
            <w:tcW w:w="600" w:type="dxa"/>
          </w:tcPr>
          <w:p>
            <w:pPr>
              <w:spacing w:before="40" w:after="40"/>
              <w:jc w:val="left"/>
            </w:pPr>
            <w:r>
              <w:rPr>
                <w:sz w:val="20"/>
                <w:szCs w:val="20"/>
                <w:lang w:val="en-GB"/>
              </w:rPr>
              <w:t xml:space="preserve">1</w:t>
            </w:r>
          </w:p>
        </w:tc>
        <w:tc>
          <w:tcPr>
            <w:tcW w:w="1900" w:type="dxa"/>
          </w:tcPr>
          <w:p>
            <w:pPr>
              <w:spacing w:before="40" w:after="40"/>
              <w:jc w:val="left"/>
            </w:pPr>
            <w:r>
              <w:t/>
            </w:r>
          </w:p>
        </w:tc>
        <w:tc>
          <w:tcPr>
            <w:tcW w:w="2300" w:type="dxa"/>
          </w:tcPr>
          <w:p>
            <w:pPr>
              <w:spacing w:before="40" w:after="40"/>
              <w:jc w:val="left"/>
            </w:pPr>
            <w:r>
              <w:t/>
            </w:r>
          </w:p>
        </w:tc>
        <w:tc>
          <w:tcPr>
            <w:tcW w:w="2500" w:type="dxa"/>
          </w:tcPr>
          <w:p>
            <w:pPr>
              <w:spacing w:before="40" w:after="40"/>
              <w:jc w:val="left"/>
            </w:pPr>
            <w:r>
              <w:t/>
            </w:r>
          </w:p>
        </w:tc>
        <w:tc>
          <w:tcPr>
            <w:tcW w:w="1726" w:type="dxa"/>
          </w:tcPr>
          <w:p>
            <w:pPr>
              <w:spacing w:before="40" w:after="40"/>
              <w:jc w:val="left"/>
            </w:pPr>
            <w:r>
              <w:t/>
            </w:r>
          </w:p>
        </w:tc>
      </w:tr>
      <w:tr>
        <w:trPr>
          <w:cantSplit/>
        </w:trPr>
        <w:tc>
          <w:tcPr>
            <w:tcW w:w="600" w:type="dxa"/>
          </w:tcPr>
          <w:p>
            <w:pPr>
              <w:spacing w:before="40" w:after="40"/>
              <w:jc w:val="left"/>
            </w:pPr>
            <w:r>
              <w:rPr>
                <w:sz w:val="20"/>
                <w:szCs w:val="20"/>
                <w:lang w:val="en-GB"/>
              </w:rPr>
              <w:t xml:space="preserve">2</w:t>
            </w:r>
          </w:p>
        </w:tc>
        <w:tc>
          <w:tcPr>
            <w:tcW w:w="1900" w:type="dxa"/>
          </w:tcPr>
          <w:p>
            <w:pPr>
              <w:spacing w:before="40" w:after="40"/>
              <w:jc w:val="left"/>
            </w:pPr>
            <w:r>
              <w:t/>
            </w:r>
          </w:p>
        </w:tc>
        <w:tc>
          <w:tcPr>
            <w:tcW w:w="2300" w:type="dxa"/>
          </w:tcPr>
          <w:p>
            <w:pPr>
              <w:spacing w:before="40" w:after="40"/>
              <w:jc w:val="left"/>
            </w:pPr>
            <w:r>
              <w:t/>
            </w:r>
          </w:p>
        </w:tc>
        <w:tc>
          <w:tcPr>
            <w:tcW w:w="2500" w:type="dxa"/>
          </w:tcPr>
          <w:p>
            <w:pPr>
              <w:spacing w:before="40" w:after="40"/>
              <w:jc w:val="left"/>
            </w:pPr>
            <w:r>
              <w:t/>
            </w:r>
          </w:p>
        </w:tc>
        <w:tc>
          <w:tcPr>
            <w:tcW w:w="1726" w:type="dxa"/>
          </w:tcPr>
          <w:p>
            <w:pPr>
              <w:spacing w:before="40" w:after="40"/>
              <w:jc w:val="left"/>
            </w:pPr>
            <w:r>
              <w:t/>
            </w:r>
          </w:p>
        </w:tc>
      </w:tr>
      <w:tr>
        <w:trPr>
          <w:cantSplit/>
        </w:trPr>
        <w:tc>
          <w:tcPr>
            <w:tcW w:w="600" w:type="dxa"/>
          </w:tcPr>
          <w:p>
            <w:pPr>
              <w:spacing w:before="40" w:after="40"/>
              <w:jc w:val="left"/>
            </w:pPr>
            <w:r>
              <w:rPr>
                <w:sz w:val="20"/>
                <w:szCs w:val="20"/>
                <w:lang w:val="en-GB"/>
              </w:rPr>
              <w:t xml:space="preserve">3</w:t>
            </w:r>
          </w:p>
        </w:tc>
        <w:tc>
          <w:tcPr>
            <w:tcW w:w="1900" w:type="dxa"/>
          </w:tcPr>
          <w:p>
            <w:pPr>
              <w:spacing w:before="40" w:after="40"/>
              <w:jc w:val="left"/>
            </w:pPr>
            <w:r>
              <w:t/>
            </w:r>
          </w:p>
        </w:tc>
        <w:tc>
          <w:tcPr>
            <w:tcW w:w="2300" w:type="dxa"/>
          </w:tcPr>
          <w:p>
            <w:pPr>
              <w:spacing w:before="40" w:after="40"/>
              <w:jc w:val="left"/>
            </w:pPr>
            <w:r>
              <w:t/>
            </w:r>
          </w:p>
        </w:tc>
        <w:tc>
          <w:tcPr>
            <w:tcW w:w="2500" w:type="dxa"/>
          </w:tcPr>
          <w:p>
            <w:pPr>
              <w:spacing w:before="40" w:after="40"/>
              <w:jc w:val="left"/>
            </w:pPr>
            <w:r>
              <w:t/>
            </w:r>
          </w:p>
        </w:tc>
        <w:tc>
          <w:tcPr>
            <w:tcW w:w="1726" w:type="dxa"/>
          </w:tcPr>
          <w:p>
            <w:pPr>
              <w:spacing w:before="40" w:after="40"/>
              <w:jc w:val="left"/>
            </w:pPr>
            <w:r>
              <w:t/>
            </w:r>
          </w:p>
        </w:tc>
      </w:tr>
      <w:tr>
        <w:trPr>
          <w:cantSplit/>
        </w:trPr>
        <w:tc>
          <w:tcPr>
            <w:tcW w:w="600" w:type="dxa"/>
          </w:tcPr>
          <w:p>
            <w:pPr>
              <w:spacing w:before="40" w:after="40"/>
              <w:jc w:val="left"/>
            </w:pPr>
            <w:r>
              <w:rPr>
                <w:sz w:val="20"/>
                <w:szCs w:val="20"/>
                <w:lang w:val="en-GB"/>
              </w:rPr>
              <w:t xml:space="preserve">4</w:t>
            </w:r>
          </w:p>
        </w:tc>
        <w:tc>
          <w:tcPr>
            <w:tcW w:w="1900" w:type="dxa"/>
          </w:tcPr>
          <w:p>
            <w:pPr>
              <w:spacing w:before="40" w:after="40"/>
              <w:jc w:val="left"/>
            </w:pPr>
            <w:r>
              <w:t/>
            </w:r>
          </w:p>
        </w:tc>
        <w:tc>
          <w:tcPr>
            <w:tcW w:w="2300" w:type="dxa"/>
          </w:tcPr>
          <w:p>
            <w:pPr>
              <w:spacing w:before="40" w:after="40"/>
              <w:jc w:val="left"/>
            </w:pPr>
            <w:r>
              <w:t/>
            </w:r>
          </w:p>
        </w:tc>
        <w:tc>
          <w:tcPr>
            <w:tcW w:w="2500" w:type="dxa"/>
          </w:tcPr>
          <w:p>
            <w:pPr>
              <w:spacing w:before="40" w:after="40"/>
              <w:jc w:val="left"/>
            </w:pPr>
            <w:r>
              <w:t/>
            </w:r>
          </w:p>
        </w:tc>
        <w:tc>
          <w:tcPr>
            <w:tcW w:w="1726" w:type="dxa"/>
          </w:tcPr>
          <w:p>
            <w:pPr>
              <w:spacing w:before="40" w:after="40"/>
              <w:jc w:val="left"/>
            </w:pPr>
            <w:r>
              <w:t/>
            </w:r>
          </w:p>
        </w:tc>
      </w:tr>
      <w:tr>
        <w:trPr>
          <w:cantSplit/>
        </w:trPr>
        <w:tc>
          <w:tcPr>
            <w:tcW w:w="600" w:type="dxa"/>
          </w:tcPr>
          <w:p>
            <w:pPr>
              <w:spacing w:before="40" w:after="40"/>
              <w:jc w:val="left"/>
            </w:pPr>
            <w:r>
              <w:rPr>
                <w:sz w:val="20"/>
                <w:szCs w:val="20"/>
                <w:lang w:val="en-GB"/>
              </w:rPr>
              <w:t xml:space="preserve">5</w:t>
            </w:r>
          </w:p>
        </w:tc>
        <w:tc>
          <w:tcPr>
            <w:tcW w:w="1900" w:type="dxa"/>
          </w:tcPr>
          <w:p>
            <w:pPr>
              <w:spacing w:before="40" w:after="40"/>
              <w:jc w:val="left"/>
            </w:pPr>
            <w:r>
              <w:t/>
            </w:r>
          </w:p>
        </w:tc>
        <w:tc>
          <w:tcPr>
            <w:tcW w:w="2300" w:type="dxa"/>
          </w:tcPr>
          <w:p>
            <w:pPr>
              <w:spacing w:before="40" w:after="40"/>
              <w:jc w:val="left"/>
            </w:pPr>
            <w:r>
              <w:t/>
            </w:r>
          </w:p>
        </w:tc>
        <w:tc>
          <w:tcPr>
            <w:tcW w:w="2500" w:type="dxa"/>
          </w:tcPr>
          <w:p>
            <w:pPr>
              <w:spacing w:before="40" w:after="40"/>
              <w:jc w:val="left"/>
            </w:pPr>
            <w:r>
              <w:t/>
            </w:r>
          </w:p>
        </w:tc>
        <w:tc>
          <w:tcPr>
            <w:tcW w:w="1726" w:type="dxa"/>
          </w:tcPr>
          <w:p>
            <w:pPr>
              <w:spacing w:before="40" w:after="40"/>
              <w:jc w:val="left"/>
            </w:pPr>
            <w:r>
              <w:t/>
            </w:r>
          </w:p>
        </w:tc>
      </w:tr>
      <w:tr>
        <w:trPr>
          <w:cantSplit/>
        </w:trPr>
        <w:tc>
          <w:tcPr>
            <w:tcW w:w="600" w:type="dxa"/>
          </w:tcPr>
          <w:p>
            <w:pPr>
              <w:spacing w:before="40" w:after="40"/>
              <w:jc w:val="left"/>
            </w:pPr>
            <w:r>
              <w:rPr>
                <w:sz w:val="20"/>
                <w:szCs w:val="20"/>
                <w:lang w:val="en-GB"/>
              </w:rPr>
              <w:t xml:space="preserve">6</w:t>
            </w:r>
          </w:p>
        </w:tc>
        <w:tc>
          <w:tcPr>
            <w:tcW w:w="1900" w:type="dxa"/>
          </w:tcPr>
          <w:p>
            <w:pPr>
              <w:spacing w:before="40" w:after="40"/>
              <w:jc w:val="left"/>
            </w:pPr>
            <w:r>
              <w:t/>
            </w:r>
          </w:p>
        </w:tc>
        <w:tc>
          <w:tcPr>
            <w:tcW w:w="2300" w:type="dxa"/>
          </w:tcPr>
          <w:p>
            <w:pPr>
              <w:spacing w:before="40" w:after="40"/>
              <w:jc w:val="left"/>
            </w:pPr>
            <w:r>
              <w:t/>
            </w:r>
          </w:p>
        </w:tc>
        <w:tc>
          <w:tcPr>
            <w:tcW w:w="2500" w:type="dxa"/>
          </w:tcPr>
          <w:p>
            <w:pPr>
              <w:spacing w:before="40" w:after="40"/>
              <w:jc w:val="left"/>
            </w:pPr>
            <w:r>
              <w:t/>
            </w:r>
          </w:p>
        </w:tc>
        <w:tc>
          <w:tcPr>
            <w:tcW w:w="1726" w:type="dxa"/>
          </w:tcPr>
          <w:p>
            <w:pPr>
              <w:spacing w:before="40" w:after="40"/>
              <w:jc w:val="left"/>
            </w:pPr>
            <w:r>
              <w:t/>
            </w:r>
          </w:p>
        </w:tc>
      </w:tr>
      <w:tr>
        <w:trPr>
          <w:cantSplit/>
        </w:trPr>
        <w:tc>
          <w:tcPr>
            <w:tcW w:w="600" w:type="dxa"/>
          </w:tcPr>
          <w:p>
            <w:pPr>
              <w:spacing w:before="40" w:after="40"/>
              <w:jc w:val="left"/>
            </w:pPr>
            <w:r>
              <w:rPr>
                <w:sz w:val="20"/>
                <w:szCs w:val="20"/>
                <w:lang w:val="en-GB"/>
              </w:rPr>
              <w:t xml:space="preserve">7</w:t>
            </w:r>
          </w:p>
        </w:tc>
        <w:tc>
          <w:tcPr>
            <w:tcW w:w="1900" w:type="dxa"/>
          </w:tcPr>
          <w:p>
            <w:pPr>
              <w:spacing w:before="40" w:after="40"/>
              <w:jc w:val="left"/>
            </w:pPr>
            <w:r>
              <w:t/>
            </w:r>
          </w:p>
        </w:tc>
        <w:tc>
          <w:tcPr>
            <w:tcW w:w="2300" w:type="dxa"/>
          </w:tcPr>
          <w:p>
            <w:pPr>
              <w:spacing w:before="40" w:after="40"/>
              <w:jc w:val="left"/>
            </w:pPr>
            <w:r>
              <w:t/>
            </w:r>
          </w:p>
        </w:tc>
        <w:tc>
          <w:tcPr>
            <w:tcW w:w="2500" w:type="dxa"/>
          </w:tcPr>
          <w:p>
            <w:pPr>
              <w:spacing w:before="40" w:after="40"/>
              <w:jc w:val="left"/>
            </w:pPr>
            <w:r>
              <w:t/>
            </w:r>
          </w:p>
        </w:tc>
        <w:tc>
          <w:tcPr>
            <w:tcW w:w="1726" w:type="dxa"/>
          </w:tcPr>
          <w:p>
            <w:pPr>
              <w:spacing w:before="40" w:after="40"/>
              <w:jc w:val="left"/>
            </w:pPr>
            <w:r>
              <w:t/>
            </w:r>
          </w:p>
        </w:tc>
      </w:tr>
      <w:tr>
        <w:trPr>
          <w:cantSplit/>
        </w:trPr>
        <w:tc>
          <w:tcPr>
            <w:tcW w:w="600" w:type="dxa"/>
          </w:tcPr>
          <w:p>
            <w:pPr>
              <w:spacing w:before="40" w:after="40"/>
              <w:jc w:val="left"/>
            </w:pPr>
            <w:r>
              <w:rPr>
                <w:sz w:val="20"/>
                <w:szCs w:val="20"/>
                <w:lang w:val="en-GB"/>
              </w:rPr>
              <w:t xml:space="preserve">8</w:t>
            </w:r>
          </w:p>
        </w:tc>
        <w:tc>
          <w:tcPr>
            <w:tcW w:w="1900" w:type="dxa"/>
          </w:tcPr>
          <w:p>
            <w:pPr>
              <w:spacing w:before="40" w:after="40"/>
              <w:jc w:val="left"/>
            </w:pPr>
            <w:r>
              <w:t/>
            </w:r>
          </w:p>
        </w:tc>
        <w:tc>
          <w:tcPr>
            <w:tcW w:w="2300" w:type="dxa"/>
          </w:tcPr>
          <w:p>
            <w:pPr>
              <w:spacing w:before="40" w:after="40"/>
              <w:jc w:val="left"/>
            </w:pPr>
            <w:r>
              <w:t/>
            </w:r>
          </w:p>
        </w:tc>
        <w:tc>
          <w:tcPr>
            <w:tcW w:w="2500" w:type="dxa"/>
          </w:tcPr>
          <w:p>
            <w:pPr>
              <w:spacing w:before="40" w:after="40"/>
              <w:jc w:val="left"/>
            </w:pPr>
            <w:r>
              <w:t/>
            </w:r>
          </w:p>
        </w:tc>
        <w:tc>
          <w:tcPr>
            <w:tcW w:w="1726" w:type="dxa"/>
          </w:tcPr>
          <w:p>
            <w:pPr>
              <w:spacing w:before="40" w:after="40"/>
              <w:jc w:val="left"/>
            </w:pPr>
            <w:r>
              <w:t/>
            </w:r>
          </w:p>
        </w:tc>
      </w:tr>
      <w:tr>
        <w:trPr>
          <w:cantSplit/>
        </w:trPr>
        <w:tc>
          <w:tcPr>
            <w:tcW w:w="600" w:type="dxa"/>
          </w:tcPr>
          <w:p>
            <w:pPr>
              <w:spacing w:before="40" w:after="40"/>
              <w:jc w:val="left"/>
            </w:pPr>
            <w:r>
              <w:rPr>
                <w:sz w:val="20"/>
                <w:szCs w:val="20"/>
                <w:lang w:val="en-GB"/>
              </w:rPr>
              <w:t xml:space="preserve">9</w:t>
            </w:r>
          </w:p>
        </w:tc>
        <w:tc>
          <w:tcPr>
            <w:tcW w:w="1900" w:type="dxa"/>
          </w:tcPr>
          <w:p>
            <w:pPr>
              <w:spacing w:before="40" w:after="40"/>
              <w:jc w:val="left"/>
            </w:pPr>
            <w:r>
              <w:t/>
            </w:r>
          </w:p>
        </w:tc>
        <w:tc>
          <w:tcPr>
            <w:tcW w:w="2300" w:type="dxa"/>
          </w:tcPr>
          <w:p>
            <w:pPr>
              <w:spacing w:before="40" w:after="40"/>
              <w:jc w:val="left"/>
            </w:pPr>
            <w:r>
              <w:t/>
            </w:r>
          </w:p>
        </w:tc>
        <w:tc>
          <w:tcPr>
            <w:tcW w:w="2500" w:type="dxa"/>
          </w:tcPr>
          <w:p>
            <w:pPr>
              <w:spacing w:before="40" w:after="40"/>
              <w:jc w:val="left"/>
            </w:pPr>
            <w:r>
              <w:t/>
            </w:r>
          </w:p>
        </w:tc>
        <w:tc>
          <w:tcPr>
            <w:tcW w:w="1726" w:type="dxa"/>
          </w:tcPr>
          <w:p>
            <w:pPr>
              <w:spacing w:before="40" w:after="40"/>
              <w:jc w:val="left"/>
            </w:pPr>
            <w:r>
              <w:t/>
            </w:r>
          </w:p>
        </w:tc>
      </w:tr>
      <w:tr>
        <w:trPr>
          <w:cantSplit/>
        </w:trPr>
        <w:tc>
          <w:tcPr>
            <w:tcW w:w="600" w:type="dxa"/>
          </w:tcPr>
          <w:p>
            <w:pPr>
              <w:spacing w:before="40" w:after="40"/>
              <w:jc w:val="left"/>
            </w:pPr>
            <w:r>
              <w:rPr>
                <w:sz w:val="20"/>
                <w:szCs w:val="20"/>
                <w:lang w:val="en-GB"/>
              </w:rPr>
              <w:t xml:space="preserve">10</w:t>
            </w:r>
          </w:p>
        </w:tc>
        <w:tc>
          <w:tcPr>
            <w:tcW w:w="1900" w:type="dxa"/>
          </w:tcPr>
          <w:p>
            <w:pPr>
              <w:spacing w:before="40" w:after="40"/>
              <w:jc w:val="left"/>
            </w:pPr>
            <w:r>
              <w:t/>
            </w:r>
          </w:p>
        </w:tc>
        <w:tc>
          <w:tcPr>
            <w:tcW w:w="2300" w:type="dxa"/>
          </w:tcPr>
          <w:p>
            <w:pPr>
              <w:spacing w:before="40" w:after="40"/>
              <w:jc w:val="left"/>
            </w:pPr>
            <w:r>
              <w:t/>
            </w:r>
          </w:p>
        </w:tc>
        <w:tc>
          <w:tcPr>
            <w:tcW w:w="2500" w:type="dxa"/>
          </w:tcPr>
          <w:p>
            <w:pPr>
              <w:spacing w:before="40" w:after="40"/>
              <w:jc w:val="left"/>
            </w:pPr>
            <w:r>
              <w:t/>
            </w:r>
          </w:p>
        </w:tc>
        <w:tc>
          <w:tcPr>
            <w:tcW w:w="1726" w:type="dxa"/>
          </w:tcPr>
          <w:p>
            <w:pPr>
              <w:spacing w:before="40" w:after="40"/>
              <w:jc w:val="left"/>
            </w:pPr>
            <w:r>
              <w:t/>
            </w:r>
          </w:p>
        </w:tc>
      </w:tr>
    </w:tbl>
    <w:p>
      <w:pPr>
        <w:spacing w:before="0" w:after="60" w:line="276" w:lineRule="auto"/>
        <w:jc w:val="both"/>
      </w:pPr>
    </w:p>
    <w:p>
      <w:pPr>
        <w:spacing w:before="0" w:after="120" w:line="276" w:lineRule="auto"/>
        <w:jc w:val="both"/>
      </w:pPr>
      <w:r>
        <w:rPr>
          <w:i/>
          <w:highlight w:val="yellow"/>
          <w:sz w:val="22"/>
          <w:szCs w:val="22"/>
          <w:lang w:val="en-GB"/>
        </w:rPr>
        <w:t xml:space="preserve">Note: This literature survey should be supplemented with verified journal articles and conference papers on MRI denoising, CLAHE, bilateral filtering, Random Forest classification, and image-quality assessment. Cite the original sources for the methods and related research findings.</w:t>
      </w:r>
    </w:p>
    <w:p>
      <w:pPr>
        <w:pStyle w:val="Heading1"/>
        <w:keepNext/>
        <w:spacing w:before="240" w:after="120"/>
      </w:pPr>
      <w:r>
        <w:rPr>
          <w:b/>
          <w:color w:val="000000"/>
          <w:sz w:val="28"/>
          <w:szCs w:val="28"/>
          <w:lang w:val="en-GB"/>
        </w:rPr>
        <w:t xml:space="preserve">2. Problem Definition</w:t>
      </w:r>
    </w:p>
    <w:p>
      <w:pPr>
        <w:pStyle w:val="Heading2"/>
        <w:keepNext/>
        <w:spacing w:before="160" w:after="80"/>
      </w:pPr>
      <w:r>
        <w:rPr>
          <w:b/>
          <w:color w:val="000000"/>
          <w:sz w:val="24"/>
          <w:szCs w:val="24"/>
          <w:lang w:val="en-GB"/>
        </w:rPr>
        <w:t xml:space="preserve">2.1 Background</w:t>
      </w:r>
    </w:p>
    <w:p>
      <w:pPr>
        <w:spacing w:before="0" w:after="120" w:line="276" w:lineRule="auto"/>
        <w:jc w:val="both"/>
      </w:pPr>
      <w:r>
        <w:rPr>
          <w:sz w:val="22"/>
          <w:szCs w:val="22"/>
          <w:lang w:val="en-GB"/>
        </w:rPr>
        <w:t xml:space="preserve">Medical imaging is an essential component of modern healthcare, supporting the examination of anatomical structures and assisting clinicians in the assessment of various conditions. Magnetic Resonance Imaging (MRI) is particularly useful for visualising soft tissues, including the brain, without using ionising radiation.</w:t>
      </w:r>
    </w:p>
    <w:p>
      <w:pPr>
        <w:spacing w:before="0" w:after="120" w:line="276" w:lineRule="auto"/>
        <w:jc w:val="both"/>
      </w:pPr>
      <w:r>
        <w:rPr>
          <w:sz w:val="22"/>
          <w:szCs w:val="22"/>
          <w:lang w:val="en-GB"/>
        </w:rPr>
        <w:t xml:space="preserve">Despite its advantages, MRI image quality can be affected by several factors, including acquisition noise, motion-related blurring, low contrast, and limitations associated with image acquisition and reconstruction. Such degradation can reduce the visibility of anatomical boundaries and fine structures.</w:t>
      </w:r>
    </w:p>
    <w:p>
      <w:pPr>
        <w:spacing w:before="0" w:after="120" w:line="276" w:lineRule="auto"/>
        <w:jc w:val="both"/>
      </w:pPr>
      <w:r>
        <w:rPr>
          <w:sz w:val="22"/>
          <w:szCs w:val="22"/>
          <w:lang w:val="en-GB"/>
        </w:rPr>
        <w:t xml:space="preserve">Image enhancement techniques are commonly used to improve image appearance or reduce specific forms of degradation. However, different methods operate according to different principles. Smoothing filters can reduce noise but may also remove fine details, while sharpening techniques can improve edge visibility but may amplify unwanted high-frequency variations. Contrast enhancement methods improve intensity visibility but may alter the appearance of local structures. Consequently, applying the same enhancement technique to every degraded image may not provide the most suitable result.</w:t>
      </w:r>
    </w:p>
    <w:p>
      <w:pPr>
        <w:pStyle w:val="Heading2"/>
        <w:keepNext/>
        <w:spacing w:before="160" w:after="80"/>
      </w:pPr>
      <w:r>
        <w:rPr>
          <w:b/>
          <w:color w:val="000000"/>
          <w:sz w:val="24"/>
          <w:szCs w:val="24"/>
          <w:lang w:val="en-GB"/>
        </w:rPr>
        <w:t xml:space="preserve">2.2 Motivation</w:t>
      </w:r>
    </w:p>
    <w:p>
      <w:pPr>
        <w:spacing w:before="0" w:after="120" w:line="276" w:lineRule="auto"/>
        <w:jc w:val="both"/>
      </w:pPr>
      <w:r>
        <w:rPr>
          <w:sz w:val="22"/>
          <w:szCs w:val="22"/>
          <w:lang w:val="en-GB"/>
        </w:rPr>
        <w:t xml:space="preserve">The effectiveness of an image-enhancement method depends on the characteristics of the input image and the type of degradation present. A method suitable for reducing noise may not be appropriate for correcting blur or insufficient contrast. A systematic framework that evaluates multiple enhancement methods can help identify differences in their performance under controlled conditions, and machine learning can be used to investigate whether measurable image-quality features contain information useful for identifying degradation types.</w:t>
      </w:r>
    </w:p>
    <w:p>
      <w:pPr>
        <w:spacing w:before="0" w:after="120" w:line="276" w:lineRule="auto"/>
        <w:jc w:val="both"/>
      </w:pPr>
      <w:r>
        <w:rPr>
          <w:sz w:val="22"/>
          <w:szCs w:val="22"/>
          <w:lang w:val="en-GB"/>
        </w:rPr>
        <w:t xml:space="preserve">The motivation behind APSE is therefore to investigate a structured approach combining image-quality feature extraction, degradation classification, multiple enhancement methods, and quantitative evaluation against clean reference images.</w:t>
      </w:r>
    </w:p>
    <w:p>
      <w:pPr>
        <w:pStyle w:val="Heading2"/>
        <w:keepNext/>
        <w:spacing w:before="160" w:after="80"/>
      </w:pPr>
      <w:r>
        <w:rPr>
          <w:b/>
          <w:color w:val="000000"/>
          <w:sz w:val="24"/>
          <w:szCs w:val="24"/>
          <w:lang w:val="en-GB"/>
        </w:rPr>
        <w:t xml:space="preserve">2.3 Problem Statement</w:t>
      </w:r>
    </w:p>
    <w:p>
      <w:pPr>
        <w:spacing w:before="0" w:after="120" w:line="276" w:lineRule="auto"/>
        <w:jc w:val="both"/>
      </w:pPr>
      <w:r>
        <w:rPr>
          <w:sz w:val="22"/>
          <w:szCs w:val="22"/>
          <w:lang w:val="en-GB"/>
        </w:rPr>
        <w:t xml:space="preserve">Conventional image-enhancement workflows may rely on fixed processing methods or manually selected parameters. Such approaches may not consistently provide the best image-quality results across different degradation types. There is a need to investigate how image characteristics can be used to understand degradation and how different enhancement techniques perform when applied to the same degraded image.</w:t>
      </w:r>
    </w:p>
    <w:p>
      <w:pPr>
        <w:spacing w:before="0" w:after="120" w:line="276" w:lineRule="auto"/>
        <w:jc w:val="both"/>
      </w:pPr>
      <w:r>
        <w:rPr>
          <w:sz w:val="22"/>
          <w:szCs w:val="22"/>
          <w:lang w:val="en-GB"/>
        </w:rPr>
        <w:t xml:space="preserve">This project addresses the problem by developing an experimental framework that classifies synthetic MRI degradation, evaluates seven enhancement methods, and identifies the best-performing candidate according to reference-based image-quality metrics.</w:t>
      </w:r>
    </w:p>
    <w:p>
      <w:pPr>
        <w:pStyle w:val="Heading2"/>
        <w:keepNext/>
        <w:spacing w:before="160" w:after="80"/>
      </w:pPr>
      <w:r>
        <w:rPr>
          <w:b/>
          <w:color w:val="000000"/>
          <w:sz w:val="24"/>
          <w:szCs w:val="24"/>
          <w:lang w:val="en-GB"/>
        </w:rPr>
        <w:t xml:space="preserve">2.4 Scope of the Project</w:t>
      </w:r>
    </w:p>
    <w:p>
      <w:pPr>
        <w:spacing w:before="0" w:after="120" w:line="276" w:lineRule="auto"/>
        <w:jc w:val="both"/>
      </w:pPr>
      <w:r>
        <w:rPr>
          <w:sz w:val="22"/>
          <w:szCs w:val="22"/>
          <w:lang w:val="en-GB"/>
        </w:rPr>
        <w:t xml:space="preserve">The project focuses on two-dimensional slices extracted from preprocessed T1-weighted brain MRI volumes. The investigation covers four synthetically generated degradation types and seven candidate image-processing methods. The evaluation uses clean reference images and quantitative image-quality metrics, and the primary objective is to study image reconstruction quality under controlled experimental conditions.</w:t>
      </w:r>
    </w:p>
    <w:p>
      <w:pPr>
        <w:spacing w:before="0" w:after="120" w:line="276" w:lineRule="auto"/>
        <w:jc w:val="both"/>
      </w:pPr>
      <w:r>
        <w:rPr>
          <w:sz w:val="22"/>
          <w:szCs w:val="22"/>
          <w:lang w:val="en-GB"/>
        </w:rPr>
        <w:t xml:space="preserve">The project does not claim clinical validation, diagnostic improvement, or guaranteed preservation of clinically relevant structures. These aspects require additional experiments involving real clinical artefacts, downstream medical-imaging tasks, and expert assessment.</w:t>
      </w:r>
    </w:p>
    <w:p>
      <w:pPr>
        <w:pStyle w:val="Heading1"/>
        <w:keepNext/>
        <w:spacing w:before="240" w:after="120"/>
      </w:pPr>
      <w:r>
        <w:rPr>
          <w:b/>
          <w:color w:val="000000"/>
          <w:sz w:val="28"/>
          <w:szCs w:val="28"/>
          <w:lang w:val="en-GB"/>
        </w:rPr>
        <w:t xml:space="preserve">3. Research Gap</w:t>
      </w:r>
    </w:p>
    <w:p>
      <w:pPr>
        <w:spacing w:before="0" w:after="120" w:line="276" w:lineRule="auto"/>
        <w:jc w:val="both"/>
      </w:pPr>
      <w:r>
        <w:rPr>
          <w:sz w:val="22"/>
          <w:szCs w:val="22"/>
          <w:lang w:val="en-GB"/>
        </w:rPr>
        <w:t xml:space="preserve">The methods described in the literature address different aspects of image enhancement. Nevertheless, the suitability of a technique may vary according to the type and severity of degradation.</w:t>
      </w:r>
    </w:p>
    <w:p>
      <w:pPr>
        <w:spacing w:before="0" w:after="120" w:line="276" w:lineRule="auto"/>
        <w:jc w:val="both"/>
      </w:pPr>
      <w:r>
        <w:rPr>
          <w:sz w:val="22"/>
          <w:szCs w:val="22"/>
          <w:lang w:val="en-GB"/>
        </w:rPr>
        <w:t xml:space="preserve">APSE investigates this issue by combining degradation classification with a systematic comparison of seven candidate methods. The reference-based experiment evaluates each candidate against a corresponding clean image, allowing the relative reconstruction performance of the methods to be studied under controlled conditions.</w:t>
      </w:r>
    </w:p>
    <w:p>
      <w:pPr>
        <w:spacing w:before="0" w:after="120" w:line="276" w:lineRule="auto"/>
        <w:jc w:val="both"/>
      </w:pPr>
      <w:r>
        <w:rPr>
          <w:sz w:val="22"/>
          <w:szCs w:val="22"/>
          <w:lang w:val="en-GB"/>
        </w:rPr>
        <w:t xml:space="preserve">The intended contribution is an experimental comparison framework rather than a claim that a clinically validated autonomous enhancement system has already been developed.</w:t>
      </w:r>
    </w:p>
    <w:p>
      <w:pPr>
        <w:pStyle w:val="Heading1"/>
        <w:keepNext/>
        <w:spacing w:before="240" w:after="120"/>
      </w:pPr>
      <w:r>
        <w:rPr>
          <w:b/>
          <w:color w:val="000000"/>
          <w:sz w:val="28"/>
          <w:szCs w:val="28"/>
          <w:lang w:val="en-GB"/>
        </w:rPr>
        <w:t xml:space="preserve">4. Objectives</w:t>
      </w:r>
    </w:p>
    <w:p>
      <w:pPr>
        <w:keepNext/>
        <w:spacing w:before="0" w:after="60" w:line="276" w:lineRule="auto"/>
        <w:jc w:val="both"/>
      </w:pPr>
      <w:r>
        <w:rPr>
          <w:sz w:val="22"/>
          <w:szCs w:val="22"/>
          <w:lang w:val="en-GB"/>
        </w:rPr>
        <w:t xml:space="preserve">The primary objectives of this project are:</w:t>
      </w:r>
    </w:p>
    <w:p>
      <w:pPr>
        <w:numPr>
          <w:ilvl w:val="0"/>
          <w:numId w:val="2"/>
        </w:numPr>
        <w:spacing w:before="0" w:after="60" w:line="276" w:lineRule="auto"/>
        <w:jc w:val="both"/>
      </w:pPr>
      <w:r>
        <w:rPr>
          <w:sz w:val="22"/>
          <w:szCs w:val="22"/>
          <w:lang w:val="en-GB"/>
        </w:rPr>
        <w:t xml:space="preserve">To develop an experimental dataset of clean and synthetically degraded T1-weighted brain MRI slices.</w:t>
      </w:r>
    </w:p>
    <w:p>
      <w:pPr>
        <w:numPr>
          <w:ilvl w:val="0"/>
          <w:numId w:val="2"/>
        </w:numPr>
        <w:spacing w:before="0" w:after="60" w:line="276" w:lineRule="auto"/>
        <w:jc w:val="both"/>
      </w:pPr>
      <w:r>
        <w:rPr>
          <w:sz w:val="22"/>
          <w:szCs w:val="22"/>
          <w:lang w:val="en-GB"/>
        </w:rPr>
        <w:t xml:space="preserve">To extract image-quality features that characterise intensity distribution, local variation, edge information, and estimated noise.</w:t>
      </w:r>
    </w:p>
    <w:p>
      <w:pPr>
        <w:numPr>
          <w:ilvl w:val="0"/>
          <w:numId w:val="2"/>
        </w:numPr>
        <w:spacing w:before="0" w:after="60" w:line="276" w:lineRule="auto"/>
        <w:jc w:val="both"/>
      </w:pPr>
      <w:r>
        <w:rPr>
          <w:sz w:val="22"/>
          <w:szCs w:val="22"/>
          <w:lang w:val="en-GB"/>
        </w:rPr>
        <w:t xml:space="preserve">To develop a Random Forest classifier for identifying four synthetic degradation categories.</w:t>
      </w:r>
    </w:p>
    <w:p>
      <w:pPr>
        <w:numPr>
          <w:ilvl w:val="0"/>
          <w:numId w:val="2"/>
        </w:numPr>
        <w:spacing w:before="0" w:after="60" w:line="276" w:lineRule="auto"/>
        <w:jc w:val="both"/>
      </w:pPr>
      <w:r>
        <w:rPr>
          <w:sz w:val="22"/>
          <w:szCs w:val="22"/>
          <w:lang w:val="en-GB"/>
        </w:rPr>
        <w:t xml:space="preserve">To implement seven image-processing methods for enhancement and baseline comparison.</w:t>
      </w:r>
    </w:p>
    <w:p>
      <w:pPr>
        <w:numPr>
          <w:ilvl w:val="0"/>
          <w:numId w:val="2"/>
        </w:numPr>
        <w:spacing w:before="0" w:after="60" w:line="276" w:lineRule="auto"/>
        <w:jc w:val="both"/>
      </w:pPr>
      <w:r>
        <w:rPr>
          <w:sz w:val="22"/>
          <w:szCs w:val="22"/>
          <w:lang w:val="en-GB"/>
        </w:rPr>
        <w:t xml:space="preserve">To evaluate the enhancement outputs using MAE, PSNR, and SSIM.</w:t>
      </w:r>
    </w:p>
    <w:p>
      <w:pPr>
        <w:numPr>
          <w:ilvl w:val="0"/>
          <w:numId w:val="2"/>
        </w:numPr>
        <w:spacing w:before="0" w:after="60" w:line="276" w:lineRule="auto"/>
        <w:jc w:val="both"/>
      </w:pPr>
      <w:r>
        <w:rPr>
          <w:sz w:val="22"/>
          <w:szCs w:val="22"/>
          <w:lang w:val="en-GB"/>
        </w:rPr>
        <w:t xml:space="preserve">To compare enhancement methods across individual samples and degradation categories.</w:t>
      </w:r>
    </w:p>
    <w:p>
      <w:pPr>
        <w:numPr>
          <w:ilvl w:val="0"/>
          <w:numId w:val="2"/>
        </w:numPr>
        <w:spacing w:before="0" w:after="60" w:line="276" w:lineRule="auto"/>
        <w:jc w:val="both"/>
      </w:pPr>
      <w:r>
        <w:rPr>
          <w:sz w:val="22"/>
          <w:szCs w:val="22"/>
          <w:lang w:val="en-GB"/>
        </w:rPr>
        <w:t xml:space="preserve">To investigate the potential and limitations of adaptive medical image-enhancement selection.</w:t>
      </w:r>
    </w:p>
    <w:p>
      <w:pPr>
        <w:pStyle w:val="Heading1"/>
        <w:keepNext/>
        <w:spacing w:before="240" w:after="120"/>
      </w:pPr>
      <w:r>
        <w:rPr>
          <w:b/>
          <w:color w:val="000000"/>
          <w:sz w:val="28"/>
          <w:szCs w:val="28"/>
          <w:lang w:val="en-GB"/>
        </w:rPr>
        <w:t xml:space="preserve">5. Methodology</w:t>
      </w:r>
    </w:p>
    <w:p>
      <w:pPr>
        <w:pStyle w:val="Heading2"/>
        <w:keepNext/>
        <w:spacing w:before="160" w:after="80"/>
      </w:pPr>
      <w:r>
        <w:rPr>
          <w:b/>
          <w:color w:val="000000"/>
          <w:sz w:val="24"/>
          <w:szCs w:val="24"/>
          <w:lang w:val="en-GB"/>
        </w:rPr>
        <w:t xml:space="preserve">5.1 Dataset Description</w:t>
      </w:r>
    </w:p>
    <w:p>
      <w:pPr>
        <w:keepNext/>
        <w:spacing w:before="0" w:after="80" w:line="276" w:lineRule="auto"/>
        <w:jc w:val="both"/>
      </w:pPr>
      <w:r>
        <w:rPr>
          <w:sz w:val="22"/>
          <w:szCs w:val="22"/>
          <w:lang w:val="en-GB"/>
        </w:rPr>
        <w:t xml:space="preserve">The study uses preprocessed T1-weighted brain MRI data from the IXI dataset. The data are stored in Python pickle (.pkl) files containing MRI volumes. A total of 576 subjects were assigned to training, validation, and testing partitions:</w:t>
      </w:r>
    </w:p>
    <w:tbl>
      <w:tblPr>
        <w:tblW w:w="6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600"/>
        <w:gridCol w:w="3000"/>
      </w:tblGrid>
      <w:tr>
        <w:trPr>
          <w:cantSplit/>
          <w:tblHeader/>
        </w:trPr>
        <w:tc>
          <w:tcPr>
            <w:tcW w:w="3600" w:type="dxa"/>
            <w:shd w:val="clear" w:color="auto" w:fill="D9E2F3"/>
          </w:tcPr>
          <w:p>
            <w:pPr>
              <w:spacing w:before="40" w:after="40"/>
              <w:jc w:val="center"/>
            </w:pPr>
            <w:r>
              <w:rPr>
                <w:b/>
                <w:sz w:val="20"/>
                <w:szCs w:val="20"/>
                <w:lang w:val="en-GB"/>
              </w:rPr>
              <w:t xml:space="preserve">Partition</w:t>
            </w:r>
          </w:p>
        </w:tc>
        <w:tc>
          <w:tcPr>
            <w:tcW w:w="3000" w:type="dxa"/>
            <w:shd w:val="clear" w:color="auto" w:fill="D9E2F3"/>
          </w:tcPr>
          <w:p>
            <w:pPr>
              <w:spacing w:before="40" w:after="40"/>
              <w:jc w:val="center"/>
            </w:pPr>
            <w:r>
              <w:rPr>
                <w:b/>
                <w:sz w:val="20"/>
                <w:szCs w:val="20"/>
                <w:lang w:val="en-GB"/>
              </w:rPr>
              <w:t xml:space="preserve">Number of subjects</w:t>
            </w:r>
          </w:p>
        </w:tc>
      </w:tr>
      <w:tr>
        <w:trPr>
          <w:cantSplit/>
        </w:trPr>
        <w:tc>
          <w:tcPr>
            <w:tcW w:w="3600" w:type="dxa"/>
          </w:tcPr>
          <w:p>
            <w:pPr>
              <w:spacing w:before="40" w:after="40"/>
              <w:jc w:val="left"/>
            </w:pPr>
            <w:r>
              <w:rPr>
                <w:sz w:val="20"/>
                <w:szCs w:val="20"/>
                <w:lang w:val="en-GB"/>
              </w:rPr>
              <w:t xml:space="preserve">Training</w:t>
            </w:r>
          </w:p>
        </w:tc>
        <w:tc>
          <w:tcPr>
            <w:tcW w:w="3000" w:type="dxa"/>
          </w:tcPr>
          <w:p>
            <w:pPr>
              <w:spacing w:before="40" w:after="40"/>
              <w:jc w:val="center"/>
            </w:pPr>
            <w:r>
              <w:rPr>
                <w:sz w:val="20"/>
                <w:szCs w:val="20"/>
                <w:lang w:val="en-GB"/>
              </w:rPr>
              <w:t xml:space="preserve">403</w:t>
            </w:r>
          </w:p>
        </w:tc>
      </w:tr>
      <w:tr>
        <w:trPr>
          <w:cantSplit/>
        </w:trPr>
        <w:tc>
          <w:tcPr>
            <w:tcW w:w="3600" w:type="dxa"/>
          </w:tcPr>
          <w:p>
            <w:pPr>
              <w:spacing w:before="40" w:after="40"/>
              <w:jc w:val="left"/>
            </w:pPr>
            <w:r>
              <w:rPr>
                <w:sz w:val="20"/>
                <w:szCs w:val="20"/>
                <w:lang w:val="en-GB"/>
              </w:rPr>
              <w:t xml:space="preserve">Validation</w:t>
            </w:r>
          </w:p>
        </w:tc>
        <w:tc>
          <w:tcPr>
            <w:tcW w:w="3000" w:type="dxa"/>
          </w:tcPr>
          <w:p>
            <w:pPr>
              <w:spacing w:before="40" w:after="40"/>
              <w:jc w:val="center"/>
            </w:pPr>
            <w:r>
              <w:rPr>
                <w:sz w:val="20"/>
                <w:szCs w:val="20"/>
                <w:lang w:val="en-GB"/>
              </w:rPr>
              <w:t xml:space="preserve">58</w:t>
            </w:r>
          </w:p>
        </w:tc>
      </w:tr>
      <w:tr>
        <w:trPr>
          <w:cantSplit/>
        </w:trPr>
        <w:tc>
          <w:tcPr>
            <w:tcW w:w="3600" w:type="dxa"/>
          </w:tcPr>
          <w:p>
            <w:pPr>
              <w:spacing w:before="40" w:after="40"/>
              <w:jc w:val="left"/>
            </w:pPr>
            <w:r>
              <w:rPr>
                <w:sz w:val="20"/>
                <w:szCs w:val="20"/>
                <w:lang w:val="en-GB"/>
              </w:rPr>
              <w:t xml:space="preserve">Testing</w:t>
            </w:r>
          </w:p>
        </w:tc>
        <w:tc>
          <w:tcPr>
            <w:tcW w:w="3000" w:type="dxa"/>
          </w:tcPr>
          <w:p>
            <w:pPr>
              <w:spacing w:before="40" w:after="40"/>
              <w:jc w:val="center"/>
            </w:pPr>
            <w:r>
              <w:rPr>
                <w:sz w:val="20"/>
                <w:szCs w:val="20"/>
                <w:lang w:val="en-GB"/>
              </w:rPr>
              <w:t xml:space="preserve">115</w:t>
            </w:r>
          </w:p>
        </w:tc>
      </w:tr>
      <w:tr>
        <w:trPr>
          <w:cantSplit/>
        </w:trPr>
        <w:tc>
          <w:tcPr>
            <w:tcW w:w="3600" w:type="dxa"/>
          </w:tcPr>
          <w:p>
            <w:pPr>
              <w:spacing w:before="40" w:after="40"/>
              <w:jc w:val="left"/>
            </w:pPr>
            <w:r>
              <w:rPr>
                <w:b/>
                <w:sz w:val="20"/>
                <w:szCs w:val="20"/>
                <w:lang w:val="en-GB"/>
              </w:rPr>
              <w:t xml:space="preserve">Total</w:t>
            </w:r>
          </w:p>
        </w:tc>
        <w:tc>
          <w:tcPr>
            <w:tcW w:w="3000" w:type="dxa"/>
          </w:tcPr>
          <w:p>
            <w:pPr>
              <w:spacing w:before="40" w:after="40"/>
              <w:jc w:val="center"/>
            </w:pPr>
            <w:r>
              <w:rPr>
                <w:b/>
                <w:sz w:val="20"/>
                <w:szCs w:val="20"/>
                <w:lang w:val="en-GB"/>
              </w:rPr>
              <w:t xml:space="preserve">576</w:t>
            </w:r>
          </w:p>
        </w:tc>
      </w:tr>
    </w:tbl>
    <w:p>
      <w:pPr>
        <w:spacing w:before="0" w:after="60" w:line="276" w:lineRule="auto"/>
        <w:jc w:val="both"/>
      </w:pPr>
    </w:p>
    <w:p>
      <w:pPr>
        <w:spacing w:before="0" w:after="120" w:line="276" w:lineRule="auto"/>
        <w:jc w:val="both"/>
      </w:pPr>
      <w:r>
        <w:rPr>
          <w:sz w:val="22"/>
          <w:szCs w:val="22"/>
          <w:lang w:val="en-GB"/>
        </w:rPr>
        <w:t xml:space="preserve">Three axial slices were sampled from each volume at relative depth fractions of 0.35, 0.50, and 0.65. This provides multiple anatomical levels per subject while keeping the computational requirements manageable. The selected slices were used to generate four synthetic degradation variants, giving a dataset of 1,728 clean slices and 6,912 degraded samples. The held-out testing partition contains 115 subjects, contributing 345 clean slices and 1,380 degraded samples.</w:t>
      </w:r>
    </w:p>
    <w:p>
      <w:pPr>
        <w:spacing w:before="0" w:after="120" w:line="276" w:lineRule="auto"/>
        <w:jc w:val="both"/>
      </w:pPr>
      <w:r>
        <w:rPr>
          <w:sz w:val="22"/>
          <w:szCs w:val="22"/>
          <w:lang w:val="en-GB"/>
        </w:rPr>
        <w:t xml:space="preserve">The subject-level partitioning prevents slices from the same subject from being distributed across training, validation, and testing sets. This reduces the risk of information leakage between the partitions.</w:t>
      </w:r>
    </w:p>
    <w:p>
      <w:pPr>
        <w:pStyle w:val="Heading2"/>
        <w:keepNext/>
        <w:spacing w:before="160" w:after="80"/>
      </w:pPr>
      <w:r>
        <w:rPr>
          <w:b/>
          <w:color w:val="000000"/>
          <w:sz w:val="24"/>
          <w:szCs w:val="24"/>
          <w:lang w:val="en-GB"/>
        </w:rPr>
        <w:t xml:space="preserve">5.2 Synthetic Degradation Generation</w:t>
      </w:r>
    </w:p>
    <w:p>
      <w:pPr>
        <w:keepNext/>
        <w:spacing w:before="0" w:after="60" w:line="276" w:lineRule="auto"/>
        <w:jc w:val="both"/>
      </w:pPr>
      <w:r>
        <w:rPr>
          <w:sz w:val="22"/>
          <w:szCs w:val="22"/>
          <w:lang w:val="en-GB"/>
        </w:rPr>
        <w:t xml:space="preserve">Four degradation types were considered:</w:t>
      </w:r>
    </w:p>
    <w:p>
      <w:pPr>
        <w:numPr>
          <w:ilvl w:val="0"/>
          <w:numId w:val="1"/>
        </w:numPr>
        <w:spacing w:before="0" w:after="60" w:line="276" w:lineRule="auto"/>
        <w:jc w:val="both"/>
      </w:pPr>
      <w:r>
        <w:rPr>
          <w:b/>
          <w:sz w:val="22"/>
          <w:szCs w:val="22"/>
          <w:lang w:val="en-GB"/>
        </w:rPr>
        <w:t xml:space="preserve">Gaussian noise:</w:t>
      </w:r>
      <w:r>
        <w:rPr>
          <w:sz w:val="22"/>
          <w:szCs w:val="22"/>
          <w:lang w:val="en-GB"/>
        </w:rPr>
        <w:t xml:space="preserve"> noise values sampled from a Gaussian distribution are added to the image intensities to simulate random variations in the acquired image. The noise level determines the severity of degradation.</w:t>
      </w:r>
    </w:p>
    <w:p>
      <w:pPr>
        <w:numPr>
          <w:ilvl w:val="0"/>
          <w:numId w:val="1"/>
        </w:numPr>
        <w:spacing w:before="0" w:after="60" w:line="276" w:lineRule="auto"/>
        <w:jc w:val="both"/>
      </w:pPr>
      <w:r>
        <w:rPr>
          <w:b/>
          <w:sz w:val="22"/>
          <w:szCs w:val="22"/>
          <w:lang w:val="en-GB"/>
        </w:rPr>
        <w:t xml:space="preserve">Rician noise:</w:t>
      </w:r>
      <w:r>
        <w:rPr>
          <w:sz w:val="22"/>
          <w:szCs w:val="22"/>
          <w:lang w:val="en-GB"/>
        </w:rPr>
        <w:t xml:space="preserve"> relevant to magnitude MRI because the magnitude reconstruction process can produce a noise distribution that differs from ordinary additive Gaussian noise. These samples were generated synthetically to investigate the enhancement methods under this degradation category.</w:t>
      </w:r>
    </w:p>
    <w:p>
      <w:pPr>
        <w:numPr>
          <w:ilvl w:val="0"/>
          <w:numId w:val="1"/>
        </w:numPr>
        <w:spacing w:before="0" w:after="60" w:line="276" w:lineRule="auto"/>
        <w:jc w:val="both"/>
      </w:pPr>
      <w:r>
        <w:rPr>
          <w:b/>
          <w:sz w:val="22"/>
          <w:szCs w:val="22"/>
          <w:lang w:val="en-GB"/>
        </w:rPr>
        <w:t xml:space="preserve">Gaussian blur:</w:t>
      </w:r>
      <w:r>
        <w:rPr>
          <w:sz w:val="22"/>
          <w:szCs w:val="22"/>
          <w:lang w:val="en-GB"/>
        </w:rPr>
        <w:t xml:space="preserve"> simulates loss of high-frequency detail by convolving the image with a Gaussian kernel, reducing sharp intensity transitions. The degree of blur depends on the kernel's standard deviation and other implementation parameters.</w:t>
      </w:r>
    </w:p>
    <w:p>
      <w:pPr>
        <w:numPr>
          <w:ilvl w:val="0"/>
          <w:numId w:val="1"/>
        </w:numPr>
        <w:spacing w:before="0" w:after="60" w:line="276" w:lineRule="auto"/>
        <w:jc w:val="both"/>
      </w:pPr>
      <w:r>
        <w:rPr>
          <w:b/>
          <w:sz w:val="22"/>
          <w:szCs w:val="22"/>
          <w:lang w:val="en-GB"/>
        </w:rPr>
        <w:t xml:space="preserve">Reduced contrast:</w:t>
      </w:r>
      <w:r>
        <w:rPr>
          <w:sz w:val="22"/>
          <w:szCs w:val="22"/>
          <w:lang w:val="en-GB"/>
        </w:rPr>
        <w:t xml:space="preserve"> generated by modifying the intensity variation of the original image so that differences between intensity levels are less pronounced.</w:t>
      </w:r>
    </w:p>
    <w:p>
      <w:pPr>
        <w:spacing w:before="60" w:after="120" w:line="276" w:lineRule="auto"/>
        <w:jc w:val="both"/>
      </w:pPr>
      <w:r>
        <w:rPr>
          <w:i/>
          <w:highlight w:val="yellow"/>
          <w:sz w:val="22"/>
          <w:szCs w:val="22"/>
          <w:lang w:val="en-GB"/>
        </w:rPr>
        <w:t xml:space="preserve">Note: Report the exact distribution parameters, intensity scaling, Rician implementation, blur kernel settings, and contrast-reduction transformation used in the experimental code.</w:t>
      </w:r>
    </w:p>
    <w:p>
      <w:pPr>
        <w:pStyle w:val="Heading2"/>
        <w:keepNext/>
        <w:spacing w:before="160" w:after="80"/>
      </w:pPr>
      <w:r>
        <w:rPr>
          <w:b/>
          <w:color w:val="000000"/>
          <w:sz w:val="24"/>
          <w:szCs w:val="24"/>
          <w:lang w:val="en-GB"/>
        </w:rPr>
        <w:t xml:space="preserve">5.3 Image-Quality Feature Extraction</w:t>
      </w:r>
    </w:p>
    <w:p>
      <w:pPr>
        <w:keepNext/>
        <w:spacing w:before="0" w:after="60" w:line="276" w:lineRule="auto"/>
        <w:jc w:val="both"/>
      </w:pPr>
      <w:r>
        <w:rPr>
          <w:sz w:val="22"/>
          <w:szCs w:val="22"/>
          <w:lang w:val="en-GB"/>
        </w:rPr>
        <w:t xml:space="preserve">Seven features were extracted from each degraded image to characterise its intensity distribution, texture, local variation, and estimated noise:</w:t>
      </w:r>
    </w:p>
    <w:p>
      <w:pPr>
        <w:numPr>
          <w:ilvl w:val="0"/>
          <w:numId w:val="1"/>
        </w:numPr>
        <w:spacing w:before="0" w:after="60" w:line="276" w:lineRule="auto"/>
        <w:jc w:val="both"/>
      </w:pPr>
      <w:r>
        <w:rPr>
          <w:b/>
          <w:sz w:val="22"/>
          <w:szCs w:val="22"/>
          <w:lang w:val="en-GB"/>
        </w:rPr>
        <w:t xml:space="preserve">Mean intensity:</w:t>
      </w:r>
      <w:r>
        <w:rPr>
          <w:sz w:val="22"/>
          <w:szCs w:val="22"/>
          <w:lang w:val="en-GB"/>
        </w:rPr>
        <w:t xml:space="preserve"> the average pixel value within the selected image region, describing the overall intensity level.</w:t>
      </w:r>
    </w:p>
    <w:p>
      <w:pPr>
        <w:numPr>
          <w:ilvl w:val="0"/>
          <w:numId w:val="1"/>
        </w:numPr>
        <w:spacing w:before="0" w:after="60" w:line="276" w:lineRule="auto"/>
        <w:jc w:val="both"/>
      </w:pPr>
      <w:r>
        <w:rPr>
          <w:b/>
          <w:sz w:val="22"/>
          <w:szCs w:val="22"/>
          <w:lang w:val="en-GB"/>
        </w:rPr>
        <w:t xml:space="preserve">Intensity standard deviation:</w:t>
      </w:r>
      <w:r>
        <w:rPr>
          <w:sz w:val="22"/>
          <w:szCs w:val="22"/>
          <w:lang w:val="en-GB"/>
        </w:rPr>
        <w:t xml:space="preserve"> the spread of pixel values around their mean. It provides information about intensity variability but may reflect both anatomical variation and degradation.</w:t>
      </w:r>
    </w:p>
    <w:p>
      <w:pPr>
        <w:numPr>
          <w:ilvl w:val="0"/>
          <w:numId w:val="1"/>
        </w:numPr>
        <w:spacing w:before="0" w:after="60" w:line="276" w:lineRule="auto"/>
        <w:jc w:val="both"/>
      </w:pPr>
      <w:r>
        <w:rPr>
          <w:b/>
          <w:sz w:val="22"/>
          <w:szCs w:val="22"/>
          <w:lang w:val="en-GB"/>
        </w:rPr>
        <w:t xml:space="preserve">Intensity range:</w:t>
      </w:r>
      <w:r>
        <w:rPr>
          <w:sz w:val="22"/>
          <w:szCs w:val="22"/>
          <w:lang w:val="en-GB"/>
        </w:rPr>
        <w:t xml:space="preserve"> the difference between the maximum and minimum intensity values within the analysed region, a basic measure of the span of image intensities.</w:t>
      </w:r>
    </w:p>
    <w:p>
      <w:pPr>
        <w:numPr>
          <w:ilvl w:val="0"/>
          <w:numId w:val="1"/>
        </w:numPr>
        <w:spacing w:before="0" w:after="60" w:line="276" w:lineRule="auto"/>
        <w:jc w:val="both"/>
      </w:pPr>
      <w:r>
        <w:rPr>
          <w:b/>
          <w:sz w:val="22"/>
          <w:szCs w:val="22"/>
          <w:lang w:val="en-GB"/>
        </w:rPr>
        <w:t xml:space="preserve">Histogram entropy:</w:t>
      </w:r>
      <w:r>
        <w:rPr>
          <w:sz w:val="22"/>
          <w:szCs w:val="22"/>
          <w:lang w:val="en-GB"/>
        </w:rPr>
        <w:t xml:space="preserve"> the distributional complexity of the image intensities. Higher entropy indicates a more distributed histogram, although it does not necessarily imply better image quality.</w:t>
      </w:r>
    </w:p>
    <w:p>
      <w:pPr>
        <w:numPr>
          <w:ilvl w:val="0"/>
          <w:numId w:val="1"/>
        </w:numPr>
        <w:spacing w:before="0" w:after="60" w:line="276" w:lineRule="auto"/>
        <w:jc w:val="both"/>
      </w:pPr>
      <w:r>
        <w:rPr>
          <w:b/>
          <w:sz w:val="22"/>
          <w:szCs w:val="22"/>
          <w:lang w:val="en-GB"/>
        </w:rPr>
        <w:t xml:space="preserve">Laplacian variance:</w:t>
      </w:r>
      <w:r>
        <w:rPr>
          <w:sz w:val="22"/>
          <w:szCs w:val="22"/>
          <w:lang w:val="en-GB"/>
        </w:rPr>
        <w:t xml:space="preserve"> the variance of the Laplacian response, an indicator of high-frequency variation. A higher value can be associated with stronger edges or fine details, but it can also arise from noise, so it is not an independent or definitive measure of sharpness.</w:t>
      </w:r>
    </w:p>
    <w:p>
      <w:pPr>
        <w:numPr>
          <w:ilvl w:val="0"/>
          <w:numId w:val="1"/>
        </w:numPr>
        <w:spacing w:before="0" w:after="60" w:line="276" w:lineRule="auto"/>
        <w:jc w:val="both"/>
      </w:pPr>
      <w:r>
        <w:rPr>
          <w:b/>
          <w:sz w:val="22"/>
          <w:szCs w:val="22"/>
          <w:lang w:val="en-GB"/>
        </w:rPr>
        <w:t xml:space="preserve">Mean gradient magnitude:</w:t>
      </w:r>
      <w:r>
        <w:rPr>
          <w:sz w:val="22"/>
          <w:szCs w:val="22"/>
          <w:lang w:val="en-GB"/>
        </w:rPr>
        <w:t xml:space="preserve"> the mean strength of local intensity changes over the analysed region, giving information about overall edge and transition strength.</w:t>
      </w:r>
    </w:p>
    <w:p>
      <w:pPr>
        <w:numPr>
          <w:ilvl w:val="0"/>
          <w:numId w:val="1"/>
        </w:numPr>
        <w:spacing w:before="0" w:after="60" w:line="276" w:lineRule="auto"/>
        <w:jc w:val="both"/>
      </w:pPr>
      <w:r>
        <w:rPr>
          <w:b/>
          <w:sz w:val="22"/>
          <w:szCs w:val="22"/>
          <w:lang w:val="en-GB"/>
        </w:rPr>
        <w:t xml:space="preserve">Estimated noise:</w:t>
      </w:r>
      <w:r>
        <w:rPr>
          <w:sz w:val="22"/>
          <w:szCs w:val="22"/>
          <w:lang w:val="en-GB"/>
        </w:rPr>
        <w:t xml:space="preserve"> a smoothed version of the image is subtracted from the input to obtain a high-frequency residual, and a robust statistic based on the median absolute deviation of the residual is used to estimate noise magnitude.</w:t>
      </w:r>
    </w:p>
    <w:p>
      <w:pPr>
        <w:pStyle w:val="Heading2"/>
        <w:keepNext/>
        <w:spacing w:before="160" w:after="80"/>
      </w:pPr>
      <w:r>
        <w:rPr>
          <w:b/>
          <w:color w:val="000000"/>
          <w:sz w:val="24"/>
          <w:szCs w:val="24"/>
          <w:lang w:val="en-GB"/>
        </w:rPr>
        <w:t xml:space="preserve">5.4 Random Forest Degradation Classification</w:t>
      </w:r>
    </w:p>
    <w:p>
      <w:pPr>
        <w:spacing w:before="0" w:after="120" w:line="276" w:lineRule="auto"/>
        <w:jc w:val="both"/>
      </w:pPr>
      <w:r>
        <w:rPr>
          <w:sz w:val="22"/>
          <w:szCs w:val="22"/>
          <w:lang w:val="en-GB"/>
        </w:rPr>
        <w:t xml:space="preserve">A Random Forest classifier was used to predict the degradation category from the seven extracted features. Random Forest constructs multiple decision trees using variations in the training data and feature selection, and the individual tree predictions are combined to generate the final class prediction. The classifier predicts one of four classes: Gaussian noise, Rician noise, Gaussian blur, and reduced contrast.</w:t>
      </w:r>
    </w:p>
    <w:p>
      <w:pPr>
        <w:spacing w:before="0" w:after="120" w:line="276" w:lineRule="auto"/>
        <w:jc w:val="both"/>
      </w:pPr>
      <w:r>
        <w:rPr>
          <w:sz w:val="22"/>
          <w:szCs w:val="22"/>
          <w:lang w:val="en-GB"/>
        </w:rPr>
        <w:t xml:space="preserve">Training and validation data were used for model development, while the held-out test subjects were reserved for evaluation. Since the degradation classes are synthetically generated, performance measures the ability to distinguish the simulated categories and should not be treated as evidence of clinical generalisation.</w:t>
      </w:r>
    </w:p>
    <w:p>
      <w:pPr>
        <w:pStyle w:val="Heading2"/>
        <w:keepNext/>
        <w:spacing w:before="160" w:after="80"/>
      </w:pPr>
      <w:r>
        <w:rPr>
          <w:b/>
          <w:color w:val="000000"/>
          <w:sz w:val="24"/>
          <w:szCs w:val="24"/>
          <w:lang w:val="en-GB"/>
        </w:rPr>
        <w:t xml:space="preserve">5.5 Image-Enhancement Methods</w:t>
      </w:r>
    </w:p>
    <w:p>
      <w:pPr>
        <w:keepNext/>
        <w:spacing w:before="0" w:after="60" w:line="276" w:lineRule="auto"/>
        <w:jc w:val="both"/>
      </w:pPr>
      <w:r>
        <w:rPr>
          <w:sz w:val="22"/>
          <w:szCs w:val="22"/>
          <w:lang w:val="en-GB"/>
        </w:rPr>
        <w:t xml:space="preserve">Seven methods were included in the enhancement experiment:</w:t>
      </w:r>
    </w:p>
    <w:p>
      <w:pPr>
        <w:numPr>
          <w:ilvl w:val="0"/>
          <w:numId w:val="1"/>
        </w:numPr>
        <w:spacing w:before="0" w:after="60" w:line="276" w:lineRule="auto"/>
        <w:jc w:val="both"/>
      </w:pPr>
      <w:r>
        <w:rPr>
          <w:b/>
          <w:sz w:val="22"/>
          <w:szCs w:val="22"/>
          <w:lang w:val="en-GB"/>
        </w:rPr>
        <w:t xml:space="preserve">Identity:</w:t>
      </w:r>
      <w:r>
        <w:rPr>
          <w:sz w:val="22"/>
          <w:szCs w:val="22"/>
          <w:lang w:val="en-GB"/>
        </w:rPr>
        <w:t xml:space="preserve"> leaves the degraded input unchanged, providing a baseline against which the effect of enhancement can be measured.</w:t>
      </w:r>
    </w:p>
    <w:p>
      <w:pPr>
        <w:numPr>
          <w:ilvl w:val="0"/>
          <w:numId w:val="1"/>
        </w:numPr>
        <w:spacing w:before="0" w:after="60" w:line="276" w:lineRule="auto"/>
        <w:jc w:val="both"/>
      </w:pPr>
      <w:r>
        <w:rPr>
          <w:b/>
          <w:sz w:val="22"/>
          <w:szCs w:val="22"/>
          <w:lang w:val="en-GB"/>
        </w:rPr>
        <w:t xml:space="preserve">Gaussian filtering:</w:t>
      </w:r>
      <w:r>
        <w:rPr>
          <w:sz w:val="22"/>
          <w:szCs w:val="22"/>
          <w:lang w:val="en-GB"/>
        </w:rPr>
        <w:t xml:space="preserve"> applies spatial smoothing to reduce high-frequency variations; it may reduce noise but can also soften anatomical boundaries.</w:t>
      </w:r>
    </w:p>
    <w:p>
      <w:pPr>
        <w:numPr>
          <w:ilvl w:val="0"/>
          <w:numId w:val="1"/>
        </w:numPr>
        <w:spacing w:before="0" w:after="60" w:line="276" w:lineRule="auto"/>
        <w:jc w:val="both"/>
      </w:pPr>
      <w:r>
        <w:rPr>
          <w:b/>
          <w:sz w:val="22"/>
          <w:szCs w:val="22"/>
          <w:lang w:val="en-GB"/>
        </w:rPr>
        <w:t xml:space="preserve">Median filtering:</w:t>
      </w:r>
      <w:r>
        <w:rPr>
          <w:sz w:val="22"/>
          <w:szCs w:val="22"/>
          <w:lang w:val="en-GB"/>
        </w:rPr>
        <w:t xml:space="preserve"> replaces each pixel with the median of its local neighbourhood, suppressing certain noise patterns while preserving some edge information.</w:t>
      </w:r>
    </w:p>
    <w:p>
      <w:pPr>
        <w:numPr>
          <w:ilvl w:val="0"/>
          <w:numId w:val="1"/>
        </w:numPr>
        <w:spacing w:before="0" w:after="60" w:line="276" w:lineRule="auto"/>
        <w:jc w:val="both"/>
      </w:pPr>
      <w:r>
        <w:rPr>
          <w:b/>
          <w:sz w:val="22"/>
          <w:szCs w:val="22"/>
          <w:lang w:val="en-GB"/>
        </w:rPr>
        <w:t xml:space="preserve">Bilateral filtering:</w:t>
      </w:r>
      <w:r>
        <w:rPr>
          <w:sz w:val="22"/>
          <w:szCs w:val="22"/>
          <w:lang w:val="en-GB"/>
        </w:rPr>
        <w:t xml:space="preserve"> considers both spatial distance and intensity similarity, aiming to reduce local variation while preserving stronger boundaries.</w:t>
      </w:r>
    </w:p>
    <w:p>
      <w:pPr>
        <w:numPr>
          <w:ilvl w:val="0"/>
          <w:numId w:val="1"/>
        </w:numPr>
        <w:spacing w:before="0" w:after="60" w:line="276" w:lineRule="auto"/>
        <w:jc w:val="both"/>
      </w:pPr>
      <w:r>
        <w:rPr>
          <w:b/>
          <w:sz w:val="22"/>
          <w:szCs w:val="22"/>
          <w:lang w:val="en-GB"/>
        </w:rPr>
        <w:t xml:space="preserve">Contrast stretching:</w:t>
      </w:r>
      <w:r>
        <w:rPr>
          <w:sz w:val="22"/>
          <w:szCs w:val="22"/>
          <w:lang w:val="en-GB"/>
        </w:rPr>
        <w:t xml:space="preserve"> remaps a selected intensity range to a wider output range, applied using intensity percentiles and an image-region mask.</w:t>
      </w:r>
    </w:p>
    <w:p>
      <w:pPr>
        <w:numPr>
          <w:ilvl w:val="0"/>
          <w:numId w:val="1"/>
        </w:numPr>
        <w:spacing w:before="0" w:after="60" w:line="276" w:lineRule="auto"/>
        <w:jc w:val="both"/>
      </w:pPr>
      <w:r>
        <w:rPr>
          <w:b/>
          <w:sz w:val="22"/>
          <w:szCs w:val="22"/>
          <w:lang w:val="en-GB"/>
        </w:rPr>
        <w:t xml:space="preserve">CLAHE:</w:t>
      </w:r>
      <w:r>
        <w:rPr>
          <w:sz w:val="22"/>
          <w:szCs w:val="22"/>
          <w:lang w:val="en-GB"/>
        </w:rPr>
        <w:t xml:space="preserve"> performs local contrast enhancement using adaptive histogram equalization with a limit on histogram amplification; its parameters determine the local processing scale and the extent of enhancement.</w:t>
      </w:r>
    </w:p>
    <w:p>
      <w:pPr>
        <w:numPr>
          <w:ilvl w:val="0"/>
          <w:numId w:val="1"/>
        </w:numPr>
        <w:spacing w:before="0" w:after="60" w:line="276" w:lineRule="auto"/>
        <w:jc w:val="both"/>
      </w:pPr>
      <w:r>
        <w:rPr>
          <w:b/>
          <w:sz w:val="22"/>
          <w:szCs w:val="22"/>
          <w:lang w:val="en-GB"/>
        </w:rPr>
        <w:t xml:space="preserve">Unsharp masking:</w:t>
      </w:r>
      <w:r>
        <w:rPr>
          <w:sz w:val="22"/>
          <w:szCs w:val="22"/>
          <w:lang w:val="en-GB"/>
        </w:rPr>
        <w:t xml:space="preserve"> combines the input image with a scaled high-frequency component obtained by subtracting a blurred version of the image, increasing local sharpness but possibly amplifying noise or introducing artefacts.</w:t>
      </w:r>
    </w:p>
    <w:p>
      <w:pPr>
        <w:spacing w:before="60" w:after="120" w:line="276" w:lineRule="auto"/>
        <w:jc w:val="both"/>
      </w:pPr>
      <w:r>
        <w:rPr>
          <w:i/>
          <w:highlight w:val="yellow"/>
          <w:sz w:val="22"/>
          <w:szCs w:val="22"/>
          <w:lang w:val="en-GB"/>
        </w:rPr>
        <w:t xml:space="preserve">Note: The exact parameters used for each method must be included in the final report so that the experiments can be reproduced.</w:t>
      </w:r>
    </w:p>
    <w:p>
      <w:pPr>
        <w:pStyle w:val="Heading2"/>
        <w:keepNext/>
        <w:spacing w:before="160" w:after="80"/>
      </w:pPr>
      <w:r>
        <w:rPr>
          <w:b/>
          <w:color w:val="000000"/>
          <w:sz w:val="24"/>
          <w:szCs w:val="24"/>
          <w:lang w:val="en-GB"/>
        </w:rPr>
        <w:t xml:space="preserve">5.6 Reference-Based Enhancement Evaluation</w:t>
      </w:r>
    </w:p>
    <w:p>
      <w:pPr>
        <w:spacing w:before="0" w:after="120" w:line="276" w:lineRule="auto"/>
        <w:jc w:val="both"/>
      </w:pPr>
      <w:r>
        <w:rPr>
          <w:sz w:val="22"/>
          <w:szCs w:val="22"/>
          <w:lang w:val="en-GB"/>
        </w:rPr>
        <w:t xml:space="preserve">The updated experiment applies all seven methods to each degraded test image, and each enhanced output is compared with its corresponding clean reference image. For each sample, the method with the highest SSIM is selected. When SSIM values are tied, PSNR is used as the next criterion, followed by lower MAE. This process identifies the best candidate according to the chosen reference-based metrics.</w:t>
      </w:r>
    </w:p>
    <w:p>
      <w:pPr>
        <w:spacing w:before="0" w:after="120" w:line="276" w:lineRule="auto"/>
        <w:jc w:val="both"/>
      </w:pPr>
      <w:r>
        <w:rPr>
          <w:sz w:val="22"/>
          <w:szCs w:val="22"/>
          <w:lang w:val="en-GB"/>
        </w:rPr>
        <w:t xml:space="preserve">The clean reference is available during this experimental comparison, but it would generally not be available for a new clinical image. Therefore, the selection procedure acts as an experimental benchmark and does not independently determine the best method for an unknown input at inference time.</w:t>
      </w:r>
    </w:p>
    <w:p>
      <w:pPr>
        <w:pStyle w:val="Heading2"/>
        <w:keepNext/>
        <w:spacing w:before="160" w:after="80"/>
      </w:pPr>
      <w:r>
        <w:rPr>
          <w:b/>
          <w:color w:val="000000"/>
          <w:sz w:val="24"/>
          <w:szCs w:val="24"/>
          <w:lang w:val="en-GB"/>
        </w:rPr>
        <w:t xml:space="preserve">5.7 Evaluation Metrics</w:t>
      </w:r>
    </w:p>
    <w:p>
      <w:pPr>
        <w:spacing w:before="0" w:after="60" w:line="276" w:lineRule="auto"/>
        <w:jc w:val="both"/>
      </w:pPr>
      <w:r>
        <w:rPr>
          <w:b/>
          <w:sz w:val="22"/>
          <w:szCs w:val="22"/>
          <w:lang w:val="en-GB"/>
        </w:rPr>
        <w:t xml:space="preserve">Mean Absolute Error (MAE)</w:t>
      </w:r>
      <w:r>
        <w:rPr>
          <w:sz w:val="22"/>
          <w:szCs w:val="22"/>
          <w:lang w:val="en-GB"/>
        </w:rPr>
        <w:t xml:space="preserve"> measures the average absolute difference between the enhanced image and the clean reference. Lower MAE indicates a smaller average pixel-wise difference.</w:t>
      </w:r>
    </w:p>
    <w:p>
      <w:pPr>
        <w:spacing w:before="0" w:after="100" w:line="276" w:lineRule="auto"/>
        <w:jc w:val="center"/>
      </w:pPr>
      <w:r>
        <w:rPr>
          <w:i/>
          <w:sz w:val="22"/>
          <w:szCs w:val="22"/>
          <w:lang w:val="en-GB"/>
        </w:rPr>
        <w:t xml:space="preserve">MAE = mean(|Reference − Enhanced Image|)</w:t>
      </w:r>
    </w:p>
    <w:p>
      <w:pPr>
        <w:spacing w:before="0" w:after="60" w:line="276" w:lineRule="auto"/>
        <w:jc w:val="both"/>
      </w:pPr>
      <w:r>
        <w:rPr>
          <w:b/>
          <w:sz w:val="22"/>
          <w:szCs w:val="22"/>
          <w:lang w:val="en-GB"/>
        </w:rPr>
        <w:t xml:space="preserve">Peak Signal-to-Noise Ratio (PSNR)</w:t>
      </w:r>
      <w:r>
        <w:rPr>
          <w:sz w:val="22"/>
          <w:szCs w:val="22"/>
          <w:lang w:val="en-GB"/>
        </w:rPr>
        <w:t xml:space="preserve"> expresses reconstruction error on a logarithmic decibel scale, where MAX is the maximum possible intensity value under the chosen intensity scale and MSE is the mean squared error between the reference and enhanced images. Higher PSNR generally indicates lower reconstruction error.</w:t>
      </w:r>
    </w:p>
    <w:p>
      <w:pPr>
        <w:spacing w:before="0" w:after="100" w:line="276" w:lineRule="auto"/>
        <w:jc w:val="center"/>
      </w:pPr>
      <w:r>
        <w:rPr>
          <w:i/>
          <w:sz w:val="22"/>
          <w:szCs w:val="22"/>
          <w:lang w:val="en-GB"/>
        </w:rPr>
        <w:t xml:space="preserve">PSNR = 10 log₁₀(MAX² / MSE)</w:t>
      </w:r>
    </w:p>
    <w:p>
      <w:pPr>
        <w:spacing w:before="0" w:after="120" w:line="276" w:lineRule="auto"/>
        <w:jc w:val="both"/>
      </w:pPr>
      <w:r>
        <w:rPr>
          <w:b/>
          <w:sz w:val="22"/>
          <w:szCs w:val="22"/>
          <w:lang w:val="en-GB"/>
        </w:rPr>
        <w:t xml:space="preserve">Structural Similarity Index (SSIM)</w:t>
      </w:r>
      <w:r>
        <w:rPr>
          <w:sz w:val="22"/>
          <w:szCs w:val="22"/>
          <w:lang w:val="en-GB"/>
        </w:rPr>
        <w:t xml:space="preserve"> evaluates structural similarity using local luminance, contrast, and structural information. Higher SSIM indicates greater structural similarity to the reference under the metric's assumptions.</w:t>
      </w:r>
    </w:p>
    <w:p>
      <w:pPr>
        <w:spacing w:before="0" w:after="120" w:line="276" w:lineRule="auto"/>
        <w:jc w:val="both"/>
      </w:pPr>
      <w:r>
        <w:rPr>
          <w:sz w:val="22"/>
          <w:szCs w:val="22"/>
          <w:lang w:val="en-GB"/>
        </w:rPr>
        <w:t xml:space="preserve">For valid comparison, the reference and enhanced images must use consistent intensity scaling, image dimensions, and metric parameters. Image normalisation performed only for visualisation should not inadvertently change the data used for quantitative evaluation.</w:t>
      </w:r>
    </w:p>
    <w:p>
      <w:pPr>
        <w:pStyle w:val="Heading1"/>
        <w:keepNext/>
        <w:spacing w:before="240" w:after="120"/>
      </w:pPr>
      <w:r>
        <w:rPr>
          <w:b/>
          <w:color w:val="000000"/>
          <w:sz w:val="28"/>
          <w:szCs w:val="28"/>
          <w:lang w:val="en-GB"/>
        </w:rPr>
        <w:t xml:space="preserve">6. Results and Discussion</w:t>
      </w:r>
    </w:p>
    <w:p>
      <w:pPr>
        <w:pStyle w:val="Heading2"/>
        <w:keepNext/>
        <w:spacing w:before="160" w:after="80"/>
      </w:pPr>
      <w:r>
        <w:rPr>
          <w:b/>
          <w:color w:val="000000"/>
          <w:sz w:val="24"/>
          <w:szCs w:val="24"/>
          <w:lang w:val="en-GB"/>
        </w:rPr>
        <w:t xml:space="preserve">6.1 Degradation Classification Results</w:t>
      </w:r>
    </w:p>
    <w:p>
      <w:pPr>
        <w:spacing w:before="0" w:after="120" w:line="276" w:lineRule="auto"/>
        <w:jc w:val="both"/>
      </w:pPr>
      <w:r>
        <w:rPr>
          <w:sz w:val="22"/>
          <w:szCs w:val="22"/>
          <w:lang w:val="en-GB"/>
        </w:rPr>
        <w:t xml:space="preserve">The Random Forest classifier was evaluated on the held-out synthetic test set. The classification results should be presented using the verified test accuracy, balanced accuracy, and confusion matrix, where available. Per-class precision, recall, and F1-score can also help identify whether particular degradation types are more difficult to distinguish.</w:t>
      </w:r>
    </w:p>
    <w:p>
      <w:pPr>
        <w:spacing w:before="0" w:after="120" w:line="276" w:lineRule="auto"/>
        <w:jc w:val="both"/>
      </w:pPr>
      <w:r>
        <w:rPr>
          <w:sz w:val="22"/>
          <w:szCs w:val="22"/>
          <w:lang w:val="en-GB"/>
        </w:rPr>
        <w:t xml:space="preserve">The previously reported classification accuracy was 1.0 on the synthetic held-out test samples. If this remains the result in the final experiment, it should be reported with the explicit qualification that the test set contains synthetically generated degradation and does not establish clinical generalisation.</w:t>
      </w:r>
    </w:p>
    <w:p>
      <w:pPr>
        <w:pStyle w:val="Heading2"/>
        <w:keepNext/>
        <w:spacing w:before="160" w:after="80"/>
      </w:pPr>
      <w:r>
        <w:rPr>
          <w:b/>
          <w:color w:val="000000"/>
          <w:sz w:val="24"/>
          <w:szCs w:val="24"/>
          <w:lang w:val="en-GB"/>
        </w:rPr>
        <w:t xml:space="preserve">6.2 Visual Comparison of Enhancement Methods</w:t>
      </w:r>
    </w:p>
    <w:p>
      <w:pPr>
        <w:spacing w:before="0" w:after="120" w:line="276" w:lineRule="auto"/>
        <w:jc w:val="both"/>
      </w:pPr>
      <w:r>
        <w:rPr>
          <w:sz w:val="22"/>
          <w:szCs w:val="22"/>
          <w:lang w:val="en-GB"/>
        </w:rPr>
        <w:t xml:space="preserve">A representative test sample was selected to demonstrate the differences between the original MRI, degraded input, and the seven enhancement outputs. The nine-image figure includes: (1) original MRI reference, (2) degraded MRI input, (3) identity output, (4) Gaussian filtering output, (5) median filtering output, (6) bilateral filtering output, (7) contrast stretching output, (8) CLAHE output, and (9) unsharp masking output.</w:t>
      </w:r>
    </w:p>
    <w:p>
      <w:pPr>
        <w:spacing w:before="60" w:after="120" w:line="276" w:lineRule="auto"/>
        <w:jc w:val="center"/>
      </w:pPr>
      <w:r>
        <w:rPr>
          <w:i/>
          <w:highlight w:val="yellow"/>
          <w:sz w:val="22"/>
          <w:szCs w:val="22"/>
          <w:lang w:val="en-GB"/>
        </w:rPr>
        <w:t xml:space="preserve">[Insert Figure 1: nine-image visual comparison of the original, degraded, and seven enhanced outputs]</w:t>
      </w:r>
    </w:p>
    <w:p>
      <w:pPr>
        <w:spacing w:before="0" w:after="120" w:line="276" w:lineRule="auto"/>
        <w:jc w:val="both"/>
      </w:pPr>
      <w:r>
        <w:rPr>
          <w:sz w:val="22"/>
          <w:szCs w:val="22"/>
          <w:lang w:val="en-GB"/>
        </w:rPr>
        <w:t xml:space="preserve">The visual comparison provides a qualitative overview of the effects of each processing method. Differences in smoothing, edge definition, and contrast can be observed. Visual appearance alone does not establish which method best preserves clinically relevant anatomical information; quantitative measurements and, where feasible, expert review are required for stronger conclusions.</w:t>
      </w:r>
    </w:p>
    <w:p>
      <w:pPr>
        <w:pStyle w:val="Heading2"/>
        <w:keepNext/>
        <w:spacing w:before="160" w:after="80"/>
      </w:pPr>
      <w:r>
        <w:rPr>
          <w:b/>
          <w:color w:val="000000"/>
          <w:sz w:val="24"/>
          <w:szCs w:val="24"/>
          <w:lang w:val="en-GB"/>
        </w:rPr>
        <w:t xml:space="preserve">6.3 Quantitative Comparison</w:t>
      </w:r>
    </w:p>
    <w:p>
      <w:pPr>
        <w:keepNext/>
        <w:spacing w:before="0" w:after="80" w:line="276" w:lineRule="auto"/>
        <w:jc w:val="both"/>
      </w:pPr>
      <w:r>
        <w:rPr>
          <w:sz w:val="22"/>
          <w:szCs w:val="22"/>
          <w:lang w:val="en-GB"/>
        </w:rPr>
        <w:t xml:space="preserve">The seven methods were evaluated using MAE, PSNR, and SSIM against clean reference images. The table below is reserved for the mean ± standard deviation of each metric across the held-out test samples. Results should also be grouped by degradation type.</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800"/>
        <w:gridCol w:w="2075"/>
        <w:gridCol w:w="2075"/>
        <w:gridCol w:w="2076"/>
      </w:tblGrid>
      <w:tr>
        <w:trPr>
          <w:cantSplit/>
          <w:tblHeader/>
        </w:trPr>
        <w:tc>
          <w:tcPr>
            <w:tcW w:w="2800" w:type="dxa"/>
            <w:shd w:val="clear" w:color="auto" w:fill="D9E2F3"/>
          </w:tcPr>
          <w:p>
            <w:pPr>
              <w:spacing w:before="40" w:after="40"/>
              <w:jc w:val="center"/>
            </w:pPr>
            <w:r>
              <w:rPr>
                <w:b/>
                <w:sz w:val="20"/>
                <w:szCs w:val="20"/>
                <w:lang w:val="en-GB"/>
              </w:rPr>
              <w:t xml:space="preserve">Method</w:t>
            </w:r>
          </w:p>
        </w:tc>
        <w:tc>
          <w:tcPr>
            <w:tcW w:w="2075" w:type="dxa"/>
            <w:shd w:val="clear" w:color="auto" w:fill="D9E2F3"/>
          </w:tcPr>
          <w:p>
            <w:pPr>
              <w:spacing w:before="40" w:after="40"/>
              <w:jc w:val="center"/>
            </w:pPr>
            <w:r>
              <w:rPr>
                <w:b/>
                <w:sz w:val="20"/>
                <w:szCs w:val="20"/>
                <w:lang w:val="en-GB"/>
              </w:rPr>
              <w:t xml:space="preserve">MAE (mean ± SD)</w:t>
            </w:r>
          </w:p>
        </w:tc>
        <w:tc>
          <w:tcPr>
            <w:tcW w:w="2075" w:type="dxa"/>
            <w:shd w:val="clear" w:color="auto" w:fill="D9E2F3"/>
          </w:tcPr>
          <w:p>
            <w:pPr>
              <w:spacing w:before="40" w:after="40"/>
              <w:jc w:val="center"/>
            </w:pPr>
            <w:r>
              <w:rPr>
                <w:b/>
                <w:sz w:val="20"/>
                <w:szCs w:val="20"/>
                <w:lang w:val="en-GB"/>
              </w:rPr>
              <w:t xml:space="preserve">PSNR (dB) (mean ± SD)</w:t>
            </w:r>
          </w:p>
        </w:tc>
        <w:tc>
          <w:tcPr>
            <w:tcW w:w="2076" w:type="dxa"/>
            <w:shd w:val="clear" w:color="auto" w:fill="D9E2F3"/>
          </w:tcPr>
          <w:p>
            <w:pPr>
              <w:spacing w:before="40" w:after="40"/>
              <w:jc w:val="center"/>
            </w:pPr>
            <w:r>
              <w:rPr>
                <w:b/>
                <w:sz w:val="20"/>
                <w:szCs w:val="20"/>
                <w:lang w:val="en-GB"/>
              </w:rPr>
              <w:t xml:space="preserve">SSIM (mean ± SD)</w:t>
            </w:r>
          </w:p>
        </w:tc>
      </w:tr>
      <w:tr>
        <w:trPr>
          <w:cantSplit/>
        </w:trPr>
        <w:tc>
          <w:tcPr>
            <w:tcW w:w="2800" w:type="dxa"/>
          </w:tcPr>
          <w:p>
            <w:pPr>
              <w:spacing w:before="40" w:after="40"/>
              <w:jc w:val="left"/>
            </w:pPr>
            <w:r>
              <w:rPr>
                <w:sz w:val="20"/>
                <w:szCs w:val="20"/>
                <w:lang w:val="en-GB"/>
              </w:rPr>
              <w:t xml:space="preserve">Identity</w:t>
            </w:r>
          </w:p>
        </w:tc>
        <w:tc>
          <w:tcPr>
            <w:tcW w:w="2075" w:type="dxa"/>
          </w:tcPr>
          <w:p>
            <w:pPr>
              <w:spacing w:before="40" w:after="40"/>
              <w:jc w:val="center"/>
            </w:pPr>
            <w:r>
              <w:rPr>
                <w:sz w:val="20"/>
                <w:szCs w:val="20"/>
                <w:lang w:val="en-GB"/>
              </w:rPr>
              <w:t xml:space="preserve">[ ]</w:t>
            </w:r>
          </w:p>
        </w:tc>
        <w:tc>
          <w:tcPr>
            <w:tcW w:w="2075" w:type="dxa"/>
          </w:tcPr>
          <w:p>
            <w:pPr>
              <w:spacing w:before="40" w:after="40"/>
              <w:jc w:val="center"/>
            </w:pPr>
            <w:r>
              <w:rPr>
                <w:sz w:val="20"/>
                <w:szCs w:val="20"/>
                <w:lang w:val="en-GB"/>
              </w:rPr>
              <w:t xml:space="preserve">[ ]</w:t>
            </w:r>
          </w:p>
        </w:tc>
        <w:tc>
          <w:tcPr>
            <w:tcW w:w="2076" w:type="dxa"/>
          </w:tcPr>
          <w:p>
            <w:pPr>
              <w:spacing w:before="40" w:after="40"/>
              <w:jc w:val="center"/>
            </w:pPr>
            <w:r>
              <w:rPr>
                <w:sz w:val="20"/>
                <w:szCs w:val="20"/>
                <w:lang w:val="en-GB"/>
              </w:rPr>
              <w:t xml:space="preserve">[ ]</w:t>
            </w:r>
          </w:p>
        </w:tc>
      </w:tr>
      <w:tr>
        <w:trPr>
          <w:cantSplit/>
        </w:trPr>
        <w:tc>
          <w:tcPr>
            <w:tcW w:w="2800" w:type="dxa"/>
          </w:tcPr>
          <w:p>
            <w:pPr>
              <w:spacing w:before="40" w:after="40"/>
              <w:jc w:val="left"/>
            </w:pPr>
            <w:r>
              <w:rPr>
                <w:sz w:val="20"/>
                <w:szCs w:val="20"/>
                <w:lang w:val="en-GB"/>
              </w:rPr>
              <w:t xml:space="preserve">Gaussian filtering</w:t>
            </w:r>
          </w:p>
        </w:tc>
        <w:tc>
          <w:tcPr>
            <w:tcW w:w="2075" w:type="dxa"/>
          </w:tcPr>
          <w:p>
            <w:pPr>
              <w:spacing w:before="40" w:after="40"/>
              <w:jc w:val="center"/>
            </w:pPr>
            <w:r>
              <w:rPr>
                <w:sz w:val="20"/>
                <w:szCs w:val="20"/>
                <w:lang w:val="en-GB"/>
              </w:rPr>
              <w:t xml:space="preserve">[ ]</w:t>
            </w:r>
          </w:p>
        </w:tc>
        <w:tc>
          <w:tcPr>
            <w:tcW w:w="2075" w:type="dxa"/>
          </w:tcPr>
          <w:p>
            <w:pPr>
              <w:spacing w:before="40" w:after="40"/>
              <w:jc w:val="center"/>
            </w:pPr>
            <w:r>
              <w:rPr>
                <w:sz w:val="20"/>
                <w:szCs w:val="20"/>
                <w:lang w:val="en-GB"/>
              </w:rPr>
              <w:t xml:space="preserve">[ ]</w:t>
            </w:r>
          </w:p>
        </w:tc>
        <w:tc>
          <w:tcPr>
            <w:tcW w:w="2076" w:type="dxa"/>
          </w:tcPr>
          <w:p>
            <w:pPr>
              <w:spacing w:before="40" w:after="40"/>
              <w:jc w:val="center"/>
            </w:pPr>
            <w:r>
              <w:rPr>
                <w:sz w:val="20"/>
                <w:szCs w:val="20"/>
                <w:lang w:val="en-GB"/>
              </w:rPr>
              <w:t xml:space="preserve">[ ]</w:t>
            </w:r>
          </w:p>
        </w:tc>
      </w:tr>
      <w:tr>
        <w:trPr>
          <w:cantSplit/>
        </w:trPr>
        <w:tc>
          <w:tcPr>
            <w:tcW w:w="2800" w:type="dxa"/>
          </w:tcPr>
          <w:p>
            <w:pPr>
              <w:spacing w:before="40" w:after="40"/>
              <w:jc w:val="left"/>
            </w:pPr>
            <w:r>
              <w:rPr>
                <w:sz w:val="20"/>
                <w:szCs w:val="20"/>
                <w:lang w:val="en-GB"/>
              </w:rPr>
              <w:t xml:space="preserve">Median filtering</w:t>
            </w:r>
          </w:p>
        </w:tc>
        <w:tc>
          <w:tcPr>
            <w:tcW w:w="2075" w:type="dxa"/>
          </w:tcPr>
          <w:p>
            <w:pPr>
              <w:spacing w:before="40" w:after="40"/>
              <w:jc w:val="center"/>
            </w:pPr>
            <w:r>
              <w:rPr>
                <w:sz w:val="20"/>
                <w:szCs w:val="20"/>
                <w:lang w:val="en-GB"/>
              </w:rPr>
              <w:t xml:space="preserve">[ ]</w:t>
            </w:r>
          </w:p>
        </w:tc>
        <w:tc>
          <w:tcPr>
            <w:tcW w:w="2075" w:type="dxa"/>
          </w:tcPr>
          <w:p>
            <w:pPr>
              <w:spacing w:before="40" w:after="40"/>
              <w:jc w:val="center"/>
            </w:pPr>
            <w:r>
              <w:rPr>
                <w:sz w:val="20"/>
                <w:szCs w:val="20"/>
                <w:lang w:val="en-GB"/>
              </w:rPr>
              <w:t xml:space="preserve">[ ]</w:t>
            </w:r>
          </w:p>
        </w:tc>
        <w:tc>
          <w:tcPr>
            <w:tcW w:w="2076" w:type="dxa"/>
          </w:tcPr>
          <w:p>
            <w:pPr>
              <w:spacing w:before="40" w:after="40"/>
              <w:jc w:val="center"/>
            </w:pPr>
            <w:r>
              <w:rPr>
                <w:sz w:val="20"/>
                <w:szCs w:val="20"/>
                <w:lang w:val="en-GB"/>
              </w:rPr>
              <w:t xml:space="preserve">[ ]</w:t>
            </w:r>
          </w:p>
        </w:tc>
      </w:tr>
      <w:tr>
        <w:trPr>
          <w:cantSplit/>
        </w:trPr>
        <w:tc>
          <w:tcPr>
            <w:tcW w:w="2800" w:type="dxa"/>
          </w:tcPr>
          <w:p>
            <w:pPr>
              <w:spacing w:before="40" w:after="40"/>
              <w:jc w:val="left"/>
            </w:pPr>
            <w:r>
              <w:rPr>
                <w:sz w:val="20"/>
                <w:szCs w:val="20"/>
                <w:lang w:val="en-GB"/>
              </w:rPr>
              <w:t xml:space="preserve">Bilateral filtering</w:t>
            </w:r>
          </w:p>
        </w:tc>
        <w:tc>
          <w:tcPr>
            <w:tcW w:w="2075" w:type="dxa"/>
          </w:tcPr>
          <w:p>
            <w:pPr>
              <w:spacing w:before="40" w:after="40"/>
              <w:jc w:val="center"/>
            </w:pPr>
            <w:r>
              <w:rPr>
                <w:sz w:val="20"/>
                <w:szCs w:val="20"/>
                <w:lang w:val="en-GB"/>
              </w:rPr>
              <w:t xml:space="preserve">[ ]</w:t>
            </w:r>
          </w:p>
        </w:tc>
        <w:tc>
          <w:tcPr>
            <w:tcW w:w="2075" w:type="dxa"/>
          </w:tcPr>
          <w:p>
            <w:pPr>
              <w:spacing w:before="40" w:after="40"/>
              <w:jc w:val="center"/>
            </w:pPr>
            <w:r>
              <w:rPr>
                <w:sz w:val="20"/>
                <w:szCs w:val="20"/>
                <w:lang w:val="en-GB"/>
              </w:rPr>
              <w:t xml:space="preserve">[ ]</w:t>
            </w:r>
          </w:p>
        </w:tc>
        <w:tc>
          <w:tcPr>
            <w:tcW w:w="2076" w:type="dxa"/>
          </w:tcPr>
          <w:p>
            <w:pPr>
              <w:spacing w:before="40" w:after="40"/>
              <w:jc w:val="center"/>
            </w:pPr>
            <w:r>
              <w:rPr>
                <w:sz w:val="20"/>
                <w:szCs w:val="20"/>
                <w:lang w:val="en-GB"/>
              </w:rPr>
              <w:t xml:space="preserve">[ ]</w:t>
            </w:r>
          </w:p>
        </w:tc>
      </w:tr>
      <w:tr>
        <w:trPr>
          <w:cantSplit/>
        </w:trPr>
        <w:tc>
          <w:tcPr>
            <w:tcW w:w="2800" w:type="dxa"/>
          </w:tcPr>
          <w:p>
            <w:pPr>
              <w:spacing w:before="40" w:after="40"/>
              <w:jc w:val="left"/>
            </w:pPr>
            <w:r>
              <w:rPr>
                <w:sz w:val="20"/>
                <w:szCs w:val="20"/>
                <w:lang w:val="en-GB"/>
              </w:rPr>
              <w:t xml:space="preserve">Contrast stretching</w:t>
            </w:r>
          </w:p>
        </w:tc>
        <w:tc>
          <w:tcPr>
            <w:tcW w:w="2075" w:type="dxa"/>
          </w:tcPr>
          <w:p>
            <w:pPr>
              <w:spacing w:before="40" w:after="40"/>
              <w:jc w:val="center"/>
            </w:pPr>
            <w:r>
              <w:rPr>
                <w:sz w:val="20"/>
                <w:szCs w:val="20"/>
                <w:lang w:val="en-GB"/>
              </w:rPr>
              <w:t xml:space="preserve">[ ]</w:t>
            </w:r>
          </w:p>
        </w:tc>
        <w:tc>
          <w:tcPr>
            <w:tcW w:w="2075" w:type="dxa"/>
          </w:tcPr>
          <w:p>
            <w:pPr>
              <w:spacing w:before="40" w:after="40"/>
              <w:jc w:val="center"/>
            </w:pPr>
            <w:r>
              <w:rPr>
                <w:sz w:val="20"/>
                <w:szCs w:val="20"/>
                <w:lang w:val="en-GB"/>
              </w:rPr>
              <w:t xml:space="preserve">[ ]</w:t>
            </w:r>
          </w:p>
        </w:tc>
        <w:tc>
          <w:tcPr>
            <w:tcW w:w="2076" w:type="dxa"/>
          </w:tcPr>
          <w:p>
            <w:pPr>
              <w:spacing w:before="40" w:after="40"/>
              <w:jc w:val="center"/>
            </w:pPr>
            <w:r>
              <w:rPr>
                <w:sz w:val="20"/>
                <w:szCs w:val="20"/>
                <w:lang w:val="en-GB"/>
              </w:rPr>
              <w:t xml:space="preserve">[ ]</w:t>
            </w:r>
          </w:p>
        </w:tc>
      </w:tr>
      <w:tr>
        <w:trPr>
          <w:cantSplit/>
        </w:trPr>
        <w:tc>
          <w:tcPr>
            <w:tcW w:w="2800" w:type="dxa"/>
          </w:tcPr>
          <w:p>
            <w:pPr>
              <w:spacing w:before="40" w:after="40"/>
              <w:jc w:val="left"/>
            </w:pPr>
            <w:r>
              <w:rPr>
                <w:sz w:val="20"/>
                <w:szCs w:val="20"/>
                <w:lang w:val="en-GB"/>
              </w:rPr>
              <w:t xml:space="preserve">CLAHE</w:t>
            </w:r>
          </w:p>
        </w:tc>
        <w:tc>
          <w:tcPr>
            <w:tcW w:w="2075" w:type="dxa"/>
          </w:tcPr>
          <w:p>
            <w:pPr>
              <w:spacing w:before="40" w:after="40"/>
              <w:jc w:val="center"/>
            </w:pPr>
            <w:r>
              <w:rPr>
                <w:sz w:val="20"/>
                <w:szCs w:val="20"/>
                <w:lang w:val="en-GB"/>
              </w:rPr>
              <w:t xml:space="preserve">[ ]</w:t>
            </w:r>
          </w:p>
        </w:tc>
        <w:tc>
          <w:tcPr>
            <w:tcW w:w="2075" w:type="dxa"/>
          </w:tcPr>
          <w:p>
            <w:pPr>
              <w:spacing w:before="40" w:after="40"/>
              <w:jc w:val="center"/>
            </w:pPr>
            <w:r>
              <w:rPr>
                <w:sz w:val="20"/>
                <w:szCs w:val="20"/>
                <w:lang w:val="en-GB"/>
              </w:rPr>
              <w:t xml:space="preserve">[ ]</w:t>
            </w:r>
          </w:p>
        </w:tc>
        <w:tc>
          <w:tcPr>
            <w:tcW w:w="2076" w:type="dxa"/>
          </w:tcPr>
          <w:p>
            <w:pPr>
              <w:spacing w:before="40" w:after="40"/>
              <w:jc w:val="center"/>
            </w:pPr>
            <w:r>
              <w:rPr>
                <w:sz w:val="20"/>
                <w:szCs w:val="20"/>
                <w:lang w:val="en-GB"/>
              </w:rPr>
              <w:t xml:space="preserve">[ ]</w:t>
            </w:r>
          </w:p>
        </w:tc>
      </w:tr>
      <w:tr>
        <w:trPr>
          <w:cantSplit/>
        </w:trPr>
        <w:tc>
          <w:tcPr>
            <w:tcW w:w="2800" w:type="dxa"/>
          </w:tcPr>
          <w:p>
            <w:pPr>
              <w:spacing w:before="40" w:after="40"/>
              <w:jc w:val="left"/>
            </w:pPr>
            <w:r>
              <w:rPr>
                <w:sz w:val="20"/>
                <w:szCs w:val="20"/>
                <w:lang w:val="en-GB"/>
              </w:rPr>
              <w:t xml:space="preserve">Unsharp masking</w:t>
            </w:r>
          </w:p>
        </w:tc>
        <w:tc>
          <w:tcPr>
            <w:tcW w:w="2075" w:type="dxa"/>
          </w:tcPr>
          <w:p>
            <w:pPr>
              <w:spacing w:before="40" w:after="40"/>
              <w:jc w:val="center"/>
            </w:pPr>
            <w:r>
              <w:rPr>
                <w:sz w:val="20"/>
                <w:szCs w:val="20"/>
                <w:lang w:val="en-GB"/>
              </w:rPr>
              <w:t xml:space="preserve">[ ]</w:t>
            </w:r>
          </w:p>
        </w:tc>
        <w:tc>
          <w:tcPr>
            <w:tcW w:w="2075" w:type="dxa"/>
          </w:tcPr>
          <w:p>
            <w:pPr>
              <w:spacing w:before="40" w:after="40"/>
              <w:jc w:val="center"/>
            </w:pPr>
            <w:r>
              <w:rPr>
                <w:sz w:val="20"/>
                <w:szCs w:val="20"/>
                <w:lang w:val="en-GB"/>
              </w:rPr>
              <w:t xml:space="preserve">[ ]</w:t>
            </w:r>
          </w:p>
        </w:tc>
        <w:tc>
          <w:tcPr>
            <w:tcW w:w="2076" w:type="dxa"/>
          </w:tcPr>
          <w:p>
            <w:pPr>
              <w:spacing w:before="40" w:after="40"/>
              <w:jc w:val="center"/>
            </w:pPr>
            <w:r>
              <w:rPr>
                <w:sz w:val="20"/>
                <w:szCs w:val="20"/>
                <w:lang w:val="en-GB"/>
              </w:rPr>
              <w:t xml:space="preserve">[ ]</w:t>
            </w:r>
          </w:p>
        </w:tc>
      </w:tr>
    </w:tbl>
    <w:p>
      <w:pPr>
        <w:spacing w:before="0" w:after="60" w:line="276" w:lineRule="auto"/>
        <w:jc w:val="both"/>
      </w:pPr>
    </w:p>
    <w:p>
      <w:pPr>
        <w:spacing w:before="0" w:after="120" w:line="276" w:lineRule="auto"/>
        <w:jc w:val="both"/>
      </w:pPr>
      <w:r>
        <w:rPr>
          <w:i/>
          <w:highlight w:val="yellow"/>
          <w:sz w:val="22"/>
          <w:szCs w:val="22"/>
          <w:lang w:val="en-GB"/>
        </w:rPr>
        <w:t xml:space="preserve">Insert the verified results from the completed benchmark here. Numerical results should not be estimated from representative images or copied from a different experiment.</w:t>
      </w:r>
    </w:p>
    <w:p>
      <w:pPr>
        <w:keepNext/>
        <w:spacing w:before="0" w:after="60" w:line="276" w:lineRule="auto"/>
        <w:jc w:val="both"/>
      </w:pPr>
      <w:r>
        <w:rPr>
          <w:sz w:val="22"/>
          <w:szCs w:val="22"/>
          <w:lang w:val="en-GB"/>
        </w:rPr>
        <w:t xml:space="preserve">The comparison should address:</w:t>
      </w:r>
    </w:p>
    <w:p>
      <w:pPr>
        <w:numPr>
          <w:ilvl w:val="0"/>
          <w:numId w:val="1"/>
        </w:numPr>
        <w:spacing w:before="0" w:after="60" w:line="276" w:lineRule="auto"/>
        <w:jc w:val="both"/>
      </w:pPr>
      <w:r>
        <w:rPr>
          <w:sz w:val="22"/>
          <w:szCs w:val="22"/>
          <w:lang w:val="en-GB"/>
        </w:rPr>
        <w:t xml:space="preserve">Which methods achieve the lowest average MAE?</w:t>
      </w:r>
    </w:p>
    <w:p>
      <w:pPr>
        <w:numPr>
          <w:ilvl w:val="0"/>
          <w:numId w:val="1"/>
        </w:numPr>
        <w:spacing w:before="0" w:after="60" w:line="276" w:lineRule="auto"/>
        <w:jc w:val="both"/>
      </w:pPr>
      <w:r>
        <w:rPr>
          <w:sz w:val="22"/>
          <w:szCs w:val="22"/>
          <w:lang w:val="en-GB"/>
        </w:rPr>
        <w:t xml:space="preserve">Which methods achieve the highest average PSNR?</w:t>
      </w:r>
    </w:p>
    <w:p>
      <w:pPr>
        <w:numPr>
          <w:ilvl w:val="0"/>
          <w:numId w:val="1"/>
        </w:numPr>
        <w:spacing w:before="0" w:after="60" w:line="276" w:lineRule="auto"/>
        <w:jc w:val="both"/>
      </w:pPr>
      <w:r>
        <w:rPr>
          <w:sz w:val="22"/>
          <w:szCs w:val="22"/>
          <w:lang w:val="en-GB"/>
        </w:rPr>
        <w:t xml:space="preserve">Which methods achieve the highest average SSIM?</w:t>
      </w:r>
    </w:p>
    <w:p>
      <w:pPr>
        <w:numPr>
          <w:ilvl w:val="0"/>
          <w:numId w:val="1"/>
        </w:numPr>
        <w:spacing w:before="0" w:after="60" w:line="276" w:lineRule="auto"/>
        <w:jc w:val="both"/>
      </w:pPr>
      <w:r>
        <w:rPr>
          <w:sz w:val="22"/>
          <w:szCs w:val="22"/>
          <w:lang w:val="en-GB"/>
        </w:rPr>
        <w:t xml:space="preserve">Does the best-performing method vary across degradation categories?</w:t>
      </w:r>
    </w:p>
    <w:p>
      <w:pPr>
        <w:numPr>
          <w:ilvl w:val="0"/>
          <w:numId w:val="1"/>
        </w:numPr>
        <w:spacing w:before="0" w:after="60" w:line="276" w:lineRule="auto"/>
        <w:jc w:val="both"/>
      </w:pPr>
      <w:r>
        <w:rPr>
          <w:sz w:val="22"/>
          <w:szCs w:val="22"/>
          <w:lang w:val="en-GB"/>
        </w:rPr>
        <w:t xml:space="preserve">How do the enhancement outputs compare with the identity baseline?</w:t>
      </w:r>
    </w:p>
    <w:p>
      <w:pPr>
        <w:pStyle w:val="Heading2"/>
        <w:keepNext/>
        <w:spacing w:before="160" w:after="80"/>
      </w:pPr>
      <w:r>
        <w:rPr>
          <w:b/>
          <w:color w:val="000000"/>
          <w:sz w:val="24"/>
          <w:szCs w:val="24"/>
          <w:lang w:val="en-GB"/>
        </w:rPr>
        <w:t xml:space="preserve">6.4 Reference-Based Selection Analysis</w:t>
      </w:r>
    </w:p>
    <w:p>
      <w:pPr>
        <w:spacing w:before="0" w:after="120" w:line="276" w:lineRule="auto"/>
        <w:jc w:val="both"/>
      </w:pPr>
      <w:r>
        <w:rPr>
          <w:sz w:val="22"/>
          <w:szCs w:val="22"/>
          <w:lang w:val="en-GB"/>
        </w:rPr>
        <w:t xml:space="preserve">The reference-based experiment identifies the candidate with the highest SSIM for each degraded sample, using PSNR and MAE as tie-breakers. The frequency with which each method is selected can be summarised across the test set and separately for each degradation category. This analysis illustrates how the preferred enhancement method varies according to the selected evaluation criterion and the properties of the test samples.</w:t>
      </w:r>
    </w:p>
    <w:p>
      <w:pPr>
        <w:spacing w:before="0" w:after="120" w:line="276" w:lineRule="auto"/>
        <w:jc w:val="both"/>
      </w:pPr>
      <w:r>
        <w:rPr>
          <w:sz w:val="22"/>
          <w:szCs w:val="22"/>
          <w:lang w:val="en-GB"/>
        </w:rPr>
        <w:t xml:space="preserve">The reference-based winning method should not be interpreted as a deployable automatic decision because its selection depends on the clean reference image.</w:t>
      </w:r>
    </w:p>
    <w:p>
      <w:pPr>
        <w:pStyle w:val="Heading2"/>
        <w:keepNext/>
        <w:spacing w:before="160" w:after="80"/>
      </w:pPr>
      <w:r>
        <w:rPr>
          <w:b/>
          <w:color w:val="000000"/>
          <w:sz w:val="24"/>
          <w:szCs w:val="24"/>
          <w:lang w:val="en-GB"/>
        </w:rPr>
        <w:t xml:space="preserve">6.5 Discussion</w:t>
      </w:r>
    </w:p>
    <w:p>
      <w:pPr>
        <w:spacing w:before="0" w:after="120" w:line="276" w:lineRule="auto"/>
        <w:jc w:val="both"/>
      </w:pPr>
      <w:r>
        <w:rPr>
          <w:sz w:val="22"/>
          <w:szCs w:val="22"/>
          <w:lang w:val="en-GB"/>
        </w:rPr>
        <w:t xml:space="preserve">The results should be interpreted in terms of the strengths and limitations of the individual enhancement techniques. Smoothing-based methods may reduce high-frequency variations but can also remove fine structures. Contrast enhancement methods may improve local visibility while increasing the prominence of noise. Sharpening methods can restore apparent edge definition but may amplify unwanted variations.</w:t>
      </w:r>
    </w:p>
    <w:p>
      <w:pPr>
        <w:spacing w:before="0" w:after="120" w:line="276" w:lineRule="auto"/>
        <w:jc w:val="both"/>
      </w:pPr>
      <w:r>
        <w:rPr>
          <w:sz w:val="22"/>
          <w:szCs w:val="22"/>
          <w:lang w:val="en-GB"/>
        </w:rPr>
        <w:t xml:space="preserve">The relative performance of the methods should therefore be determined from the completed quantitative evaluation rather than assumed in advance. Any observed advantage is specific to the dataset, synthetic degradation procedures, enhancement parameters, reference images, and evaluation metrics used in the experiment.</w:t>
      </w:r>
    </w:p>
    <w:p>
      <w:pPr>
        <w:pStyle w:val="Heading2"/>
        <w:keepNext/>
        <w:spacing w:before="160" w:after="80"/>
      </w:pPr>
      <w:r>
        <w:rPr>
          <w:b/>
          <w:color w:val="000000"/>
          <w:sz w:val="24"/>
          <w:szCs w:val="24"/>
          <w:lang w:val="en-GB"/>
        </w:rPr>
        <w:t xml:space="preserve">6.6 Limitations</w:t>
      </w:r>
    </w:p>
    <w:p>
      <w:pPr>
        <w:numPr>
          <w:ilvl w:val="0"/>
          <w:numId w:val="1"/>
        </w:numPr>
        <w:spacing w:before="0" w:after="60" w:line="276" w:lineRule="auto"/>
        <w:jc w:val="both"/>
      </w:pPr>
      <w:r>
        <w:rPr>
          <w:sz w:val="22"/>
          <w:szCs w:val="22"/>
          <w:lang w:val="en-GB"/>
        </w:rPr>
        <w:t xml:space="preserve">The degradation types were generated synthetically. Real MRI artefacts may be more complex and may involve combinations of noise, motion, acquisition effects, and reconstruction-related variations.</w:t>
      </w:r>
    </w:p>
    <w:p>
      <w:pPr>
        <w:numPr>
          <w:ilvl w:val="0"/>
          <w:numId w:val="1"/>
        </w:numPr>
        <w:spacing w:before="0" w:after="60" w:line="276" w:lineRule="auto"/>
        <w:jc w:val="both"/>
      </w:pPr>
      <w:r>
        <w:rPr>
          <w:sz w:val="22"/>
          <w:szCs w:val="22"/>
          <w:lang w:val="en-GB"/>
        </w:rPr>
        <w:t xml:space="preserve">The image-quality features may respond to anatomical content as well as degradation. Their ability to generalise to different scanners, imaging protocols, and patient populations requires additional testing.</w:t>
      </w:r>
    </w:p>
    <w:p>
      <w:pPr>
        <w:numPr>
          <w:ilvl w:val="0"/>
          <w:numId w:val="1"/>
        </w:numPr>
        <w:spacing w:before="0" w:after="60" w:line="276" w:lineRule="auto"/>
        <w:jc w:val="both"/>
      </w:pPr>
      <w:r>
        <w:rPr>
          <w:sz w:val="22"/>
          <w:szCs w:val="22"/>
          <w:lang w:val="en-GB"/>
        </w:rPr>
        <w:t xml:space="preserve">The reference-based selection procedure requires a clean image for each degraded input, which limits its direct application to new clinical images.</w:t>
      </w:r>
    </w:p>
    <w:p>
      <w:pPr>
        <w:numPr>
          <w:ilvl w:val="0"/>
          <w:numId w:val="1"/>
        </w:numPr>
        <w:spacing w:before="0" w:after="60" w:line="276" w:lineRule="auto"/>
        <w:jc w:val="both"/>
      </w:pPr>
      <w:r>
        <w:rPr>
          <w:sz w:val="22"/>
          <w:szCs w:val="22"/>
          <w:lang w:val="en-GB"/>
        </w:rPr>
        <w:t xml:space="preserve">MAE, PSNR, and SSIM measure image similarity rather than diagnostic performance. An image that scores well on these metrics is not necessarily the most clinically useful or safest image for interpretation.</w:t>
      </w:r>
    </w:p>
    <w:p>
      <w:pPr>
        <w:numPr>
          <w:ilvl w:val="0"/>
          <w:numId w:val="1"/>
        </w:numPr>
        <w:spacing w:before="0" w:after="60" w:line="276" w:lineRule="auto"/>
        <w:jc w:val="both"/>
      </w:pPr>
      <w:r>
        <w:rPr>
          <w:sz w:val="22"/>
          <w:szCs w:val="22"/>
          <w:lang w:val="en-GB"/>
        </w:rPr>
        <w:t xml:space="preserve">The project does not establish clinical effectiveness without validation on appropriate real-world data and assessment by qualified experts.</w:t>
      </w:r>
    </w:p>
    <w:p>
      <w:pPr>
        <w:pStyle w:val="Heading1"/>
        <w:keepNext/>
        <w:spacing w:before="240" w:after="120"/>
      </w:pPr>
      <w:r>
        <w:rPr>
          <w:b/>
          <w:color w:val="000000"/>
          <w:sz w:val="28"/>
          <w:szCs w:val="28"/>
          <w:lang w:val="en-GB"/>
        </w:rPr>
        <w:t xml:space="preserve">7. Conclusion</w:t>
      </w:r>
    </w:p>
    <w:p>
      <w:pPr>
        <w:spacing w:before="0" w:after="120" w:line="276" w:lineRule="auto"/>
        <w:jc w:val="both"/>
      </w:pPr>
      <w:r>
        <w:rPr>
          <w:sz w:val="22"/>
          <w:szCs w:val="22"/>
          <w:lang w:val="en-GB"/>
        </w:rPr>
        <w:t xml:space="preserve">This project presents APSE, an experimental framework for investigating degradation-aware enhancement of T1-weighted brain MRI images. The framework combines image-quality feature extraction, Random Forest-based degradation classification, and the evaluation of seven image-processing methods.</w:t>
      </w:r>
    </w:p>
    <w:p>
      <w:pPr>
        <w:spacing w:before="0" w:after="120" w:line="276" w:lineRule="auto"/>
        <w:jc w:val="both"/>
      </w:pPr>
      <w:r>
        <w:rPr>
          <w:sz w:val="22"/>
          <w:szCs w:val="22"/>
          <w:lang w:val="en-GB"/>
        </w:rPr>
        <w:t xml:space="preserve">The updated experiment compares the candidate outputs against clean reference images using MAE, PSNR, and SSIM. This enables a systematic assessment of reconstruction quality and identification of the best-performing candidate under the selected reference-based criteria.</w:t>
      </w:r>
    </w:p>
    <w:p>
      <w:pPr>
        <w:spacing w:before="0" w:after="120" w:line="276" w:lineRule="auto"/>
        <w:jc w:val="both"/>
      </w:pPr>
      <w:r>
        <w:rPr>
          <w:sz w:val="22"/>
          <w:szCs w:val="22"/>
          <w:lang w:val="en-GB"/>
        </w:rPr>
        <w:t xml:space="preserve">The work demonstrates a structured approach to studying how enhancement techniques behave under different synthetic degradation conditions. However, reference-based selection does not constitute an independent clinical enhancement system, and strong performance on synthetic data does not establish clinical effectiveness. Future research should focus on independent method selection, evaluation on real clinical artefacts, downstream task performance, and expert assessment.</w:t>
      </w:r>
    </w:p>
    <w:p>
      <w:pPr>
        <w:pStyle w:val="Heading1"/>
        <w:keepNext/>
        <w:spacing w:before="240" w:after="120"/>
      </w:pPr>
      <w:r>
        <w:rPr>
          <w:b/>
          <w:color w:val="000000"/>
          <w:sz w:val="28"/>
          <w:szCs w:val="28"/>
          <w:lang w:val="en-GB"/>
        </w:rPr>
        <w:t xml:space="preserve">8. Future Scope</w:t>
      </w:r>
    </w:p>
    <w:p>
      <w:pPr>
        <w:numPr>
          <w:ilvl w:val="0"/>
          <w:numId w:val="1"/>
        </w:numPr>
        <w:spacing w:before="0" w:after="60" w:line="276" w:lineRule="auto"/>
        <w:jc w:val="both"/>
      </w:pPr>
      <w:r>
        <w:rPr>
          <w:b/>
          <w:sz w:val="22"/>
          <w:szCs w:val="22"/>
          <w:lang w:val="en-GB"/>
        </w:rPr>
        <w:t xml:space="preserve">Independent method selection:</w:t>
      </w:r>
      <w:r>
        <w:rPr>
          <w:sz w:val="22"/>
          <w:szCs w:val="22"/>
          <w:lang w:val="en-GB"/>
        </w:rPr>
        <w:t xml:space="preserve"> an independent method-selection model could be trained using the outcomes of the reference-based benchmark, with the aim of selecting an enhancement method without requiring a clean reference at inference time. Such a model would require careful training, independent evaluation, and uncertainty assessment.</w:t>
      </w:r>
    </w:p>
    <w:p>
      <w:pPr>
        <w:numPr>
          <w:ilvl w:val="0"/>
          <w:numId w:val="1"/>
        </w:numPr>
        <w:spacing w:before="0" w:after="60" w:line="276" w:lineRule="auto"/>
        <w:jc w:val="both"/>
      </w:pPr>
      <w:r>
        <w:rPr>
          <w:b/>
          <w:sz w:val="22"/>
          <w:szCs w:val="22"/>
          <w:lang w:val="en-GB"/>
        </w:rPr>
        <w:t xml:space="preserve">Real artefacts and downstream tasks:</w:t>
      </w:r>
      <w:r>
        <w:rPr>
          <w:sz w:val="22"/>
          <w:szCs w:val="22"/>
          <w:lang w:val="en-GB"/>
        </w:rPr>
        <w:t xml:space="preserve"> the framework could be evaluated on MRI data containing real acquisition artefacts. Downstream tasks, such as brain-structure segmentation, could help investigate whether enhancement improves task performance rather than only pixel-level similarity.</w:t>
      </w:r>
    </w:p>
    <w:p>
      <w:pPr>
        <w:numPr>
          <w:ilvl w:val="0"/>
          <w:numId w:val="1"/>
        </w:numPr>
        <w:spacing w:before="0" w:after="60" w:line="276" w:lineRule="auto"/>
        <w:jc w:val="both"/>
      </w:pPr>
      <w:r>
        <w:rPr>
          <w:b/>
          <w:sz w:val="22"/>
          <w:szCs w:val="22"/>
          <w:lang w:val="en-GB"/>
        </w:rPr>
        <w:t xml:space="preserve">Expert review:</w:t>
      </w:r>
      <w:r>
        <w:rPr>
          <w:sz w:val="22"/>
          <w:szCs w:val="22"/>
          <w:lang w:val="en-GB"/>
        </w:rPr>
        <w:t xml:space="preserve"> expert assessment could provide additional information about anatomical detail preservation and clinically relevant artefacts.</w:t>
      </w:r>
    </w:p>
    <w:p>
      <w:pPr>
        <w:numPr>
          <w:ilvl w:val="0"/>
          <w:numId w:val="1"/>
        </w:numPr>
        <w:spacing w:before="0" w:after="60" w:line="276" w:lineRule="auto"/>
        <w:jc w:val="both"/>
      </w:pPr>
      <w:r>
        <w:rPr>
          <w:b/>
          <w:sz w:val="22"/>
          <w:szCs w:val="22"/>
          <w:lang w:val="en-GB"/>
        </w:rPr>
        <w:t xml:space="preserve">Robustness testing:</w:t>
      </w:r>
      <w:r>
        <w:rPr>
          <w:sz w:val="22"/>
          <w:szCs w:val="22"/>
          <w:lang w:val="en-GB"/>
        </w:rPr>
        <w:t xml:space="preserve"> testing across multiple datasets, scanners, and acquisition protocols would help assess robustness.</w:t>
      </w:r>
    </w:p>
    <w:p>
      <w:pPr>
        <w:spacing w:before="60" w:after="120" w:line="276" w:lineRule="auto"/>
        <w:jc w:val="both"/>
      </w:pPr>
      <w:r>
        <w:rPr>
          <w:sz w:val="22"/>
          <w:szCs w:val="22"/>
          <w:lang w:val="en-GB"/>
        </w:rPr>
        <w:t xml:space="preserve">These extensions would move the project toward more clinically relevant evaluation, although clinical deployment would require further validation and appropriate safeguards.</w:t>
      </w:r>
    </w:p>
    <w:p>
      <w:pPr>
        <w:pStyle w:val="Heading1"/>
        <w:keepNext/>
        <w:spacing w:before="240" w:after="120"/>
      </w:pPr>
      <w:r>
        <w:rPr>
          <w:b/>
          <w:color w:val="000000"/>
          <w:sz w:val="28"/>
          <w:szCs w:val="28"/>
          <w:lang w:val="en-GB"/>
        </w:rPr>
        <w:t xml:space="preserve">9. SDG Alignment</w:t>
      </w:r>
    </w:p>
    <w:p>
      <w:pPr>
        <w:spacing w:before="0" w:after="120" w:line="276" w:lineRule="auto"/>
        <w:jc w:val="both"/>
      </w:pPr>
      <w:r>
        <w:rPr>
          <w:i/>
          <w:highlight w:val="yellow"/>
          <w:sz w:val="22"/>
          <w:szCs w:val="22"/>
          <w:lang w:val="en-GB"/>
        </w:rPr>
        <w:t xml:space="preserve">This section was not part of the supplied content and is a suggested draft; please review and edit it.</w:t>
      </w:r>
    </w:p>
    <w:p>
      <w:pPr>
        <w:numPr>
          <w:ilvl w:val="0"/>
          <w:numId w:val="1"/>
        </w:numPr>
        <w:spacing w:before="0" w:after="60" w:line="276" w:lineRule="auto"/>
        <w:jc w:val="both"/>
      </w:pPr>
      <w:r>
        <w:rPr>
          <w:b/>
          <w:sz w:val="22"/>
          <w:szCs w:val="22"/>
          <w:lang w:val="en-GB"/>
        </w:rPr>
        <w:t xml:space="preserve">SDG 3 – Good Health and Well-being:</w:t>
      </w:r>
      <w:r>
        <w:rPr>
          <w:sz w:val="22"/>
          <w:szCs w:val="22"/>
          <w:lang w:val="en-GB"/>
        </w:rPr>
        <w:t xml:space="preserve"> the project studies how image degradation affects MRI quality and how enhancement methods behave, which supports research toward more reliable medical-image interpretation. No clinical benefit is claimed at this stage.</w:t>
      </w:r>
    </w:p>
    <w:p>
      <w:pPr>
        <w:numPr>
          <w:ilvl w:val="0"/>
          <w:numId w:val="1"/>
        </w:numPr>
        <w:spacing w:before="0" w:after="60" w:line="276" w:lineRule="auto"/>
        <w:jc w:val="both"/>
      </w:pPr>
      <w:r>
        <w:rPr>
          <w:b/>
          <w:sz w:val="22"/>
          <w:szCs w:val="22"/>
          <w:lang w:val="en-GB"/>
        </w:rPr>
        <w:t xml:space="preserve">SDG 9 – Industry, Innovation and Infrastructure:</w:t>
      </w:r>
      <w:r>
        <w:rPr>
          <w:sz w:val="22"/>
          <w:szCs w:val="22"/>
          <w:lang w:val="en-GB"/>
        </w:rPr>
        <w:t xml:space="preserve"> the framework uses low-cost, conventional image-processing methods and a lightweight machine-learning model, which may support innovation in accessible medical-imaging software.</w:t>
      </w:r>
    </w:p>
    <w:p>
      <w:pPr>
        <w:pStyle w:val="Heading1"/>
        <w:keepNext/>
        <w:spacing w:before="240" w:after="120"/>
      </w:pPr>
      <w:r>
        <w:rPr>
          <w:b/>
          <w:color w:val="000000"/>
          <w:sz w:val="28"/>
          <w:szCs w:val="28"/>
          <w:lang w:val="en-GB"/>
        </w:rPr>
        <w:t xml:space="preserve">References</w:t>
      </w:r>
    </w:p>
    <w:p>
      <w:pPr>
        <w:spacing w:before="0" w:after="60" w:line="276" w:lineRule="auto"/>
        <w:jc w:val="both"/>
      </w:pPr>
      <w:r>
        <w:rPr>
          <w:i/>
          <w:highlight w:val="yellow"/>
          <w:sz w:val="22"/>
          <w:szCs w:val="22"/>
          <w:lang w:val="en-GB"/>
        </w:rPr>
        <w:t xml:space="preserve">Add verified references (IEEE or the university-required style) for the following. Verify every author, paper title, publication venue, year, and DOI before submission.</w:t>
      </w:r>
    </w:p>
    <w:p>
      <w:pPr>
        <w:numPr>
          <w:ilvl w:val="0"/>
          <w:numId w:val="3"/>
        </w:numPr>
        <w:spacing w:before="0" w:after="60" w:line="276" w:lineRule="auto"/>
        <w:jc w:val="both"/>
      </w:pPr>
      <w:r>
        <w:rPr>
          <w:sz w:val="22"/>
          <w:szCs w:val="22"/>
          <w:lang w:val="en-GB"/>
        </w:rPr>
        <w:t xml:space="preserve">The IXI dataset and its source.</w:t>
      </w:r>
    </w:p>
    <w:p>
      <w:pPr>
        <w:numPr>
          <w:ilvl w:val="0"/>
          <w:numId w:val="3"/>
        </w:numPr>
        <w:spacing w:before="0" w:after="60" w:line="276" w:lineRule="auto"/>
        <w:jc w:val="both"/>
      </w:pPr>
      <w:r>
        <w:rPr>
          <w:sz w:val="22"/>
          <w:szCs w:val="22"/>
          <w:lang w:val="en-GB"/>
        </w:rPr>
        <w:t xml:space="preserve">Random Forest classification.</w:t>
      </w:r>
    </w:p>
    <w:p>
      <w:pPr>
        <w:numPr>
          <w:ilvl w:val="0"/>
          <w:numId w:val="3"/>
        </w:numPr>
        <w:spacing w:before="0" w:after="60" w:line="276" w:lineRule="auto"/>
        <w:jc w:val="both"/>
      </w:pPr>
      <w:r>
        <w:rPr>
          <w:sz w:val="22"/>
          <w:szCs w:val="22"/>
          <w:lang w:val="en-GB"/>
        </w:rPr>
        <w:t xml:space="preserve">Gaussian, median, and bilateral filtering.</w:t>
      </w:r>
    </w:p>
    <w:p>
      <w:pPr>
        <w:numPr>
          <w:ilvl w:val="0"/>
          <w:numId w:val="3"/>
        </w:numPr>
        <w:spacing w:before="0" w:after="60" w:line="276" w:lineRule="auto"/>
        <w:jc w:val="both"/>
      </w:pPr>
      <w:r>
        <w:rPr>
          <w:sz w:val="22"/>
          <w:szCs w:val="22"/>
          <w:lang w:val="en-GB"/>
        </w:rPr>
        <w:t xml:space="preserve">Contrast stretching and CLAHE.</w:t>
      </w:r>
    </w:p>
    <w:p>
      <w:pPr>
        <w:numPr>
          <w:ilvl w:val="0"/>
          <w:numId w:val="3"/>
        </w:numPr>
        <w:spacing w:before="0" w:after="60" w:line="276" w:lineRule="auto"/>
        <w:jc w:val="both"/>
      </w:pPr>
      <w:r>
        <w:rPr>
          <w:sz w:val="22"/>
          <w:szCs w:val="22"/>
          <w:lang w:val="en-GB"/>
        </w:rPr>
        <w:t xml:space="preserve">Unsharp masking.</w:t>
      </w:r>
    </w:p>
    <w:p>
      <w:pPr>
        <w:numPr>
          <w:ilvl w:val="0"/>
          <w:numId w:val="3"/>
        </w:numPr>
        <w:spacing w:before="0" w:after="60" w:line="276" w:lineRule="auto"/>
        <w:jc w:val="both"/>
      </w:pPr>
      <w:r>
        <w:rPr>
          <w:sz w:val="22"/>
          <w:szCs w:val="22"/>
          <w:lang w:val="en-GB"/>
        </w:rPr>
        <w:t xml:space="preserve">MAE, PSNR, and SSIM.</w:t>
      </w:r>
    </w:p>
    <w:p>
      <w:pPr>
        <w:numPr>
          <w:ilvl w:val="0"/>
          <w:numId w:val="3"/>
        </w:numPr>
        <w:spacing w:before="0" w:after="60" w:line="276" w:lineRule="auto"/>
        <w:jc w:val="both"/>
      </w:pPr>
      <w:r>
        <w:rPr>
          <w:sz w:val="22"/>
          <w:szCs w:val="22"/>
          <w:lang w:val="en-GB"/>
        </w:rPr>
        <w:t xml:space="preserve">MRI noise modelling and medical image enhancement.</w:t>
      </w:r>
    </w:p>
    <w:p>
      <w:pPr>
        <w:numPr>
          <w:ilvl w:val="0"/>
          <w:numId w:val="3"/>
        </w:numPr>
        <w:spacing w:before="0" w:after="60" w:line="276" w:lineRule="auto"/>
        <w:jc w:val="both"/>
      </w:pPr>
      <w:r>
        <w:rPr>
          <w:sz w:val="22"/>
          <w:szCs w:val="22"/>
          <w:lang w:val="en-GB"/>
        </w:rPr>
        <w:t xml:space="preserve">Recent research on adaptive or machine-learning-based enhancement selection.</w:t>
      </w:r>
    </w:p>
    <w:sectPr>
      <w:footerReference w:type="default" r:id="rId20"/>
      <w:pgSz w:w="11906" w:h="16838"/>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sz w:val="20"/>
      </w:rPr>
      <w:fldChar w:fldCharType="begin"/>
    </w:r>
    <w:r>
      <w:rPr>
        <w:sz w:val="20"/>
      </w:rPr>
      <w:instrText xml:space="preserve"> PAGE </w:instrText>
    </w:r>
    <w:r>
      <w:rPr>
        <w:sz w:val="20"/>
      </w:rPr>
      <w:fldChar w:fldCharType="separate"/>
    </w:r>
    <w:r>
      <w:rPr>
        <w:sz w:val="20"/>
      </w:rPr>
      <w:t>2</w:t>
    </w:r>
    <w:r>
      <w:rPr>
        <w:sz w:val="20"/>
      </w:rPr>
      <w:fldChar w:fldCharType="end"/>
    </w:r>
  </w:p>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rPr>
        <w:rFonts w:ascii="Arial" w:hAnsi="Arial" w:cs="Arial"/>
      </w:rPr>
    </w:lvl>
  </w:abstractNum>
  <w:abstractNum w:abstractNumId="2">
    <w:multiLevelType w:val="hybridMultilevel"/>
    <w:lvl w:ilvl="0">
      <w:start w:val="1"/>
      <w:numFmt w:val="decimal"/>
      <w:lvlText w:val="%1."/>
      <w:lvlJc w:val="left"/>
      <w:pPr>
        <w:ind w:left="720" w:hanging="360"/>
      </w:pPr>
    </w:lvl>
  </w:abstractNum>
  <w:abstractNum w:abstractNumId="3">
    <w:multiLevelType w:val="hybridMultilevel"/>
    <w:lvl w:ilvl="0">
      <w:start w:val="1"/>
      <w:numFmt w:val="decimal"/>
      <w:lvlText w:val="%1."/>
      <w:lvlJc w:val="left"/>
      <w:pPr>
        <w:ind w:left="720" w:hanging="360"/>
      </w:p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781"/>
    <w:rsid w:val="001F6D77"/>
    <w:rsid w:val="00206FE2"/>
    <w:rsid w:val="00563C7E"/>
    <w:rsid w:val="00A90F80"/>
    <w:rsid w:val="00AC7781"/>
    <w:rsid w:val="00B42A87"/>
    <w:rsid w:val="00BB414E"/>
    <w:rsid w:val="00E75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AEA57"/>
  <w15:chartTrackingRefBased/>
  <w15:docId w15:val="{B69B5340-943C-418B-85A4-FE65D1DDD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781"/>
    <w:rPr>
      <w:rFonts w:eastAsiaTheme="majorEastAsia" w:cstheme="majorBidi"/>
      <w:color w:val="272727" w:themeColor="text1" w:themeTint="D8"/>
    </w:rPr>
  </w:style>
  <w:style w:type="paragraph" w:styleId="Title">
    <w:name w:val="Title"/>
    <w:basedOn w:val="Normal"/>
    <w:next w:val="Normal"/>
    <w:link w:val="TitleChar"/>
    <w:uiPriority w:val="10"/>
    <w:qFormat/>
    <w:rsid w:val="00AC7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781"/>
    <w:pPr>
      <w:spacing w:before="160"/>
      <w:jc w:val="center"/>
    </w:pPr>
    <w:rPr>
      <w:i/>
      <w:iCs/>
      <w:color w:val="404040" w:themeColor="text1" w:themeTint="BF"/>
    </w:rPr>
  </w:style>
  <w:style w:type="character" w:customStyle="1" w:styleId="QuoteChar">
    <w:name w:val="Quote Char"/>
    <w:basedOn w:val="DefaultParagraphFont"/>
    <w:link w:val="Quote"/>
    <w:uiPriority w:val="29"/>
    <w:rsid w:val="00AC7781"/>
    <w:rPr>
      <w:i/>
      <w:iCs/>
      <w:color w:val="404040" w:themeColor="text1" w:themeTint="BF"/>
    </w:rPr>
  </w:style>
  <w:style w:type="paragraph" w:styleId="ListParagraph">
    <w:name w:val="List Paragraph"/>
    <w:basedOn w:val="Normal"/>
    <w:uiPriority w:val="34"/>
    <w:qFormat/>
    <w:rsid w:val="00AC7781"/>
    <w:pPr>
      <w:ind w:left="720"/>
      <w:contextualSpacing/>
    </w:pPr>
  </w:style>
  <w:style w:type="character" w:styleId="IntenseEmphasis">
    <w:name w:val="Intense Emphasis"/>
    <w:basedOn w:val="DefaultParagraphFont"/>
    <w:uiPriority w:val="21"/>
    <w:qFormat/>
    <w:rsid w:val="00AC7781"/>
    <w:rPr>
      <w:i/>
      <w:iCs/>
      <w:color w:val="0F4761" w:themeColor="accent1" w:themeShade="BF"/>
    </w:rPr>
  </w:style>
  <w:style w:type="paragraph" w:styleId="IntenseQuote">
    <w:name w:val="Intense Quote"/>
    <w:basedOn w:val="Normal"/>
    <w:next w:val="Normal"/>
    <w:link w:val="IntenseQuoteChar"/>
    <w:uiPriority w:val="30"/>
    <w:qFormat/>
    <w:rsid w:val="00AC7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781"/>
    <w:rPr>
      <w:i/>
      <w:iCs/>
      <w:color w:val="0F4761" w:themeColor="accent1" w:themeShade="BF"/>
    </w:rPr>
  </w:style>
  <w:style w:type="character" w:styleId="IntenseReference">
    <w:name w:val="Intense Reference"/>
    <w:basedOn w:val="DefaultParagraphFont"/>
    <w:uiPriority w:val="32"/>
    <w:qFormat/>
    <w:rsid w:val="00AC77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20" Type="http://schemas.openxmlformats.org/officeDocument/2006/relationships/footer" Target="footer1.xm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66</Words>
  <Characters>377</Characters>
  <Application>Microsoft Office Word</Application>
  <DocSecurity>0</DocSecurity>
  <Lines>3</Lines>
  <Paragraphs>1</Paragraphs>
  <ScaleCrop>false</ScaleCrop>
  <Company/>
  <LinksUpToDate>false</LinksUpToDate>
  <CharactersWithSpaces>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saranchid@gmail.com</dc:creator>
  <cp:keywords/>
  <dc:description/>
  <cp:lastModifiedBy>mythili asaithambi</cp:lastModifiedBy>
  <cp:revision>2</cp:revision>
  <dcterms:created xsi:type="dcterms:W3CDTF">2026-10-20T04:49:00Z</dcterms:created>
  <dcterms:modified xsi:type="dcterms:W3CDTF">2026-10-20T04:49:00Z</dcterms:modified>
</cp:coreProperties>
</file>