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cdfjkpz26f9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</w:t>
      </w:r>
      <w:r w:rsidDel="00000000" w:rsidR="00000000" w:rsidRPr="00000000">
        <w:rPr>
          <w:i w:val="1"/>
          <w:rtl w:val="0"/>
        </w:rPr>
        <w:t xml:space="preserve">горизонтальное меню</w:t>
      </w:r>
      <w:r w:rsidDel="00000000" w:rsidR="00000000" w:rsidRPr="00000000">
        <w:rPr>
          <w:rtl w:val="0"/>
        </w:rPr>
        <w:t xml:space="preserve"> по разделам домашнего задания. Задайте контейнеру меню фон, а ссылкам – цвет (отличный от цвета по умолчанию). Ссылки имеют внутренние отступы: сверху-снизу 10px, справа-слева 20px, а также правый бордер (кроме последней).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список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ul &gt; li &gt; a</w:t>
      </w:r>
      <w:r w:rsidDel="00000000" w:rsidR="00000000" w:rsidRPr="00000000">
        <w:rPr>
          <w:rtl w:val="0"/>
        </w:rPr>
        <w:t xml:space="preserve"> из нескольких элементов с текстом (например, список брендов). Сбросьте маркировку и отступы у списка. Для первого элемента списка задайте полужирное начертание и больший размер шрифта. Для первого элемента списка создайте блочный псевдоэлемент высотой 1px и с черным фоном. Последнему элементу списка задайте нижний бордер 1px solid #000. Все ссылки сделайте блочными, сбросьте подчеркивание по умолчанию и задайте цвет #444. При наведении указателя мыши на ссылку появляется нижнее подчеркивание, а ее цвет меняется на #999.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Восстановите HTML-структуру по селекторам. Стили и контент – произвольные.</w:t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240" w:hRule="atLeast"/>
        </w:trP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body header h1 a img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body 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main section article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body 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main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{}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семантическую HTML-разметку статьи и стилизуйте соответственно: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descr="ab1e3c6f890e4f40ab63f67a66567982.png" id="1" name="image2.png"/>
            <a:graphic>
              <a:graphicData uri="http://schemas.openxmlformats.org/drawingml/2006/picture">
                <pic:pic>
                  <pic:nvPicPr>
                    <pic:cNvPr descr="ab1e3c6f890e4f40ab63f67a6656798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таблицу из нескольких записей. Используя только вложенность селекторов (не используя классы или какие-либо атрибуты HTML), стилизуйте таблицу по примеру. Шапка таблицы (thead) выделяется цветом фона и текста. Третья и четвертая колонки – выравнивание текста по центру. Последняя колонка – выравнивание по правому краю. Четные строки имеют серый фон, нечетные – белый.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3"/>
        <w:gridCol w:w="1813"/>
        <w:gridCol w:w="1245"/>
        <w:gridCol w:w="1260"/>
        <w:gridCol w:w="2895"/>
        <w:tblGridChange w:id="0">
          <w:tblGrid>
            <w:gridCol w:w="1813"/>
            <w:gridCol w:w="1813"/>
            <w:gridCol w:w="1245"/>
            <w:gridCol w:w="1260"/>
            <w:gridCol w:w="2895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Firstname</w:t>
            </w:r>
          </w:p>
        </w:tc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Lastname</w:t>
            </w:r>
          </w:p>
        </w:tc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Gender</w:t>
            </w:r>
          </w:p>
        </w:tc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Salary</w:t>
            </w:r>
          </w:p>
        </w:tc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Some info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Some other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несколько квадратных полупрозрачных блоков разного цвета. Спозиционируйте их один над другим со cдвигом. При наведении указателя мыши на блок, он поднимается надо всеми и становится непрозрачным.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52575" cy="1552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0000" y="2890800"/>
                          <a:ext cx="1552575" cy="1552575"/>
                          <a:chOff x="4110000" y="2890800"/>
                          <a:chExt cx="1533600" cy="153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10000" y="2890800"/>
                            <a:ext cx="1228800" cy="12288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392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262400" y="3043200"/>
                            <a:ext cx="1228800" cy="1228800"/>
                          </a:xfrm>
                          <a:prstGeom prst="rect">
                            <a:avLst/>
                          </a:prstGeom>
                          <a:solidFill>
                            <a:srgbClr val="00FF00">
                              <a:alpha val="4392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14800" y="3195600"/>
                            <a:ext cx="1228800" cy="1228800"/>
                          </a:xfrm>
                          <a:prstGeom prst="rect">
                            <a:avLst/>
                          </a:prstGeom>
                          <a:solidFill>
                            <a:srgbClr val="0000FF">
                              <a:alpha val="4392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2575" cy="15525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