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Aptamil — Brand Overview</w:t>
      </w:r>
    </w:p>
    <w:p>
      <w:pPr>
        <w:spacing w:after="200"/>
      </w:pPr>
      <w:r>
        <w:rPr>
          <w:i/>
          <w:iCs/>
          <w:color w:val="555555"/>
          <w:sz w:val="20"/>
          <w:szCs w:val="20"/>
        </w:rPr>
        <w:t xml:space="preserve">A compiled reference document based on Aptamil's publicly stated brand positioning, claims, and product range. This is an independently compiled summary for reference and analysis purposes — it is not an official or internal Aptamil/Danone publication, not medical or nutritional advice, and does not reproduce proprietary formulation or regulatory dossiers.</w:t>
      </w:r>
    </w:p>
    <w:p>
      <w:pPr>
        <w:pStyle w:val="Heading1"/>
        <w:spacing w:after="150" w:before="200"/>
      </w:pPr>
      <w:r>
        <w:t xml:space="preserve">Brand Snapshot</w:t>
      </w:r>
    </w:p>
    <w:p>
      <w:pPr>
        <w:spacing w:after="200"/>
      </w:pPr>
      <w:r>
        <w:t xml:space="preserve">Aptamil is an early-life nutrition brand under Danone Nutricia, with over 40 years in infant formula and a presence across roughly 40–45 countries, strongest in the UK and continental Europe. It positions itself around the idea that every baby is entitled to 'the best start in life,' built on decades of internal research into breast-milk composition as the scientific reference point for its formulations.</w:t>
      </w:r>
    </w:p>
    <w:p>
      <w:pPr>
        <w:pStyle w:val="Heading1"/>
        <w:spacing w:after="150" w:before="300"/>
      </w:pPr>
      <w:r>
        <w:t xml:space="preserve">Brand Aspirations</w:t>
      </w:r>
    </w:p>
    <w:p>
      <w:pPr>
        <w:pStyle w:val="ListParagraph"/>
        <w:numPr>
          <w:ilvl w:val="0"/>
          <w:numId w:val="1"/>
        </w:numPr>
        <w:spacing w:after="120"/>
      </w:pPr>
      <w:r>
        <w:t xml:space="preserve">Be the 'brand of first choice' among both parents and healthcare professionals — a positioning that leans heavily on clinical credibility and endorsement, not just consumer marketing.</w:t>
      </w:r>
    </w:p>
    <w:p>
      <w:pPr>
        <w:pStyle w:val="ListParagraph"/>
        <w:numPr>
          <w:ilvl w:val="0"/>
          <w:numId w:val="1"/>
        </w:numPr>
        <w:spacing w:after="120"/>
      </w:pPr>
      <w:r>
        <w:t xml:space="preserve">Lead on early-life immunity and cognitive development research, framed as addressing a broader public-health concern the brand cites: that children today risk growing up less healthy than their parents due to rising non-communicable disease rates.</w:t>
      </w:r>
    </w:p>
    <w:p>
      <w:pPr>
        <w:pStyle w:val="ListParagraph"/>
        <w:numPr>
          <w:ilvl w:val="0"/>
          <w:numId w:val="1"/>
        </w:numPr>
        <w:spacing w:after="120"/>
      </w:pPr>
      <w:r>
        <w:t xml:space="preserve">Cover the full spectrum of infant nutrition needs — from mainstream formula through to specialised nutrition for vulnerable infants (e.g. preterm babies) and babies with specific dietary needs (e.g. allergy management).</w:t>
      </w:r>
    </w:p>
    <w:p>
      <w:pPr>
        <w:pStyle w:val="ListParagraph"/>
        <w:numPr>
          <w:ilvl w:val="0"/>
          <w:numId w:val="1"/>
        </w:numPr>
        <w:spacing w:after="120"/>
      </w:pPr>
      <w:r>
        <w:t xml:space="preserve">Maintain R&amp;D-led differentiation rather than compete primarily on price or organic certification — Aptamil is not organic-certified, and instead positions its value around proprietary ingredient technology.</w:t>
      </w:r>
    </w:p>
    <w:p>
      <w:pPr>
        <w:pStyle w:val="Heading1"/>
        <w:spacing w:after="150" w:before="300"/>
      </w:pPr>
      <w:r>
        <w:t xml:space="preserve">Brand Claims</w:t>
      </w:r>
    </w:p>
    <w:p>
      <w:pPr>
        <w:spacing w:after="200"/>
      </w:pPr>
      <w:r>
        <w:t xml:space="preserve">Aptamil's public claims are unusually specific and ingredient-led compared to most consumer brands, built around its proprietary Pronutra formulation system:</w:t>
      </w:r>
    </w:p>
    <w:p>
      <w:pPr>
        <w:pStyle w:val="ListParagraph"/>
        <w:numPr>
          <w:ilvl w:val="0"/>
          <w:numId w:val="1"/>
        </w:numPr>
        <w:spacing w:after="120"/>
      </w:pPr>
      <w:r>
        <w:t xml:space="preserve">Brain and eye development support — attributed to DHA/ARA (omega-3/omega-6 fatty acids) and choline in its formulations, with premium tiers (Profutura) citing the brand's highest DHA levels.</w:t>
      </w:r>
    </w:p>
    <w:p>
      <w:pPr>
        <w:pStyle w:val="ListParagraph"/>
        <w:numPr>
          <w:ilvl w:val="0"/>
          <w:numId w:val="1"/>
        </w:numPr>
        <w:spacing w:after="120"/>
      </w:pPr>
      <w:r>
        <w:t xml:space="preserve">Immune system support — attributed to a specific prebiotic blend (scGOS/lcFOS in a 9:1 ratio, branded as Pronutra), with some ranges adding human-milk-oligosaccharide-type ingredients (2'-FL) in premium tiers.</w:t>
      </w:r>
    </w:p>
    <w:p>
      <w:pPr>
        <w:pStyle w:val="ListParagraph"/>
        <w:numPr>
          <w:ilvl w:val="0"/>
          <w:numId w:val="1"/>
        </w:numPr>
        <w:spacing w:after="120"/>
      </w:pPr>
      <w:r>
        <w:t xml:space="preserve">Digestive comfort — the same prebiotic blend is also marketed as supporting soft, regular stools and gut bacterial balance.</w:t>
      </w:r>
    </w:p>
    <w:p>
      <w:pPr>
        <w:pStyle w:val="ListParagraph"/>
        <w:numPr>
          <w:ilvl w:val="0"/>
          <w:numId w:val="1"/>
        </w:numPr>
        <w:spacing w:after="120"/>
      </w:pPr>
      <w:r>
        <w:t xml:space="preserve">Clinical/research credibility as a claim in itself — the brand repeatedly foregrounds decades of research and specific cited studies (e.g. Koletzko et al.) as the basis for its nutrient claims, rather than relying on lifestyle or emotional brand messaging alone.</w:t>
      </w:r>
    </w:p>
    <w:p>
      <w:pPr>
        <w:spacing w:after="200"/>
      </w:pPr>
      <w:r>
        <w:rPr>
          <w:i/>
          <w:iCs/>
          <w:color w:val="555555"/>
          <w:sz w:val="20"/>
          <w:szCs w:val="20"/>
        </w:rPr>
        <w:t xml:space="preserve">Important caveats: independent nutrition-policy reviewers (e.g. First Steps Nutrition Trust) have scrutinised some infant-formula industry claims — including some made for Aptamil products — for going beyond what the cited evidence directly supports, and infant-formula marketing claims are tightly regulated and vary significantly by country. None of the claims above should be treated as independently verified, medical, or current regulatory-compliant claims — they are the brand's own public positioning as of the sources available in August 2026.</w:t>
      </w:r>
    </w:p>
    <w:p>
      <w:pPr>
        <w:pStyle w:val="Heading1"/>
        <w:spacing w:after="150" w:before="300"/>
      </w:pPr>
      <w:r>
        <w:t xml:space="preserve">Product Range &amp; Portfolio Structure</w:t>
      </w:r>
    </w:p>
    <w:p>
      <w:pPr>
        <w:pStyle w:val="Heading2"/>
        <w:spacing w:after="100" w:before="200"/>
      </w:pPr>
      <w:r>
        <w:t xml:space="preserve">Standard / Pronutra range</w:t>
      </w:r>
    </w:p>
    <w:p>
      <w:pPr>
        <w:pStyle w:val="ListParagraph"/>
        <w:numPr>
          <w:ilvl w:val="0"/>
          <w:numId w:val="1"/>
        </w:numPr>
        <w:spacing w:after="120"/>
      </w:pPr>
      <w:r>
        <w:t xml:space="preserve">Age-staged formulas (commonly Stage 1 from birth, Stage 2 follow-on, Stage 3 growing-up milk), each reformulated for the nutrient needs of that age band rather than a single one-size-fits-all product.</w:t>
      </w:r>
    </w:p>
    <w:p>
      <w:pPr>
        <w:pStyle w:val="Heading2"/>
        <w:spacing w:after="100" w:before="200"/>
      </w:pPr>
      <w:r>
        <w:t xml:space="preserve">Profutura / ProExpert</w:t>
      </w:r>
    </w:p>
    <w:p>
      <w:pPr>
        <w:pStyle w:val="ListParagraph"/>
        <w:numPr>
          <w:ilvl w:val="0"/>
          <w:numId w:val="1"/>
        </w:numPr>
        <w:spacing w:after="120"/>
      </w:pPr>
      <w:r>
        <w:t xml:space="preserve">Premium tier positioned above the standard range, with additional bioactive ingredients (e.g. added HMOs) marketed as a more advanced nutrient profile.</w:t>
      </w:r>
    </w:p>
    <w:p>
      <w:pPr>
        <w:pStyle w:val="Heading2"/>
        <w:spacing w:after="100" w:before="200"/>
      </w:pPr>
      <w:r>
        <w:t xml:space="preserve">Pepti / specialised ranges</w:t>
      </w:r>
    </w:p>
    <w:p>
      <w:pPr>
        <w:pStyle w:val="ListParagraph"/>
        <w:numPr>
          <w:ilvl w:val="0"/>
          <w:numId w:val="1"/>
        </w:numPr>
        <w:spacing w:after="120"/>
      </w:pPr>
      <w:r>
        <w:t xml:space="preserve">Extensively hydrolysed and specialised formulas aimed at infants with specific needs such as cow's-milk protein allergy or digestive sensitivity (branded variously as Pepti, Comfort, or similar depending on market).</w:t>
      </w:r>
    </w:p>
    <w:p>
      <w:pPr>
        <w:pStyle w:val="Heading1"/>
        <w:spacing w:after="150" w:before="300"/>
      </w:pPr>
      <w:r>
        <w:t xml:space="preserve">Regulatory &amp; Ethical Context</w:t>
      </w:r>
    </w:p>
    <w:p>
      <w:pPr>
        <w:spacing w:after="200"/>
      </w:pPr>
      <w:r>
        <w:t xml:space="preserve">Infant formula is one of the most heavily regulated marketing categories globally, and any balanced overview of an infant-formula brand needs to reflect that context rather than reading as unqualified promotion:</w:t>
      </w:r>
    </w:p>
    <w:p>
      <w:pPr>
        <w:pStyle w:val="ListParagraph"/>
        <w:numPr>
          <w:ilvl w:val="0"/>
          <w:numId w:val="1"/>
        </w:numPr>
        <w:spacing w:after="120"/>
      </w:pPr>
      <w:r>
        <w:t xml:space="preserve">The World Health Organization's International Code of Marketing of Breast-Milk Substitutes recommends exclusive breastfeeding for the first six months of life, with continued breastfeeding alongside appropriate complementary foods up to two years or beyond — and restricts how formula brands may market directly to consumers in many countries. Aptamil's own public communications state support for this guidance rather than positioning formula as equivalent to or better than breastfeeding.</w:t>
      </w:r>
    </w:p>
    <w:p>
      <w:pPr>
        <w:pStyle w:val="ListParagraph"/>
        <w:numPr>
          <w:ilvl w:val="0"/>
          <w:numId w:val="1"/>
        </w:numPr>
        <w:spacing w:after="120"/>
      </w:pPr>
      <w:r>
        <w:t xml:space="preserve">Specific nutrient claims (DHA/visual development, prebiotic/immune claims, etc.) are subject to differing regulatory standards by market (e.g. EFSA-approved health claims in the EU), and some claims have drawn scrutiny from independent nutrition-policy researchers over the strength of supporting evidence — this is a genuinely contested area, not a settled one.</w:t>
      </w:r>
    </w:p>
    <w:p>
      <w:pPr>
        <w:pStyle w:val="ListParagraph"/>
        <w:numPr>
          <w:ilvl w:val="0"/>
          <w:numId w:val="1"/>
        </w:numPr>
        <w:spacing w:after="120"/>
      </w:pPr>
      <w:r>
        <w:t xml:space="preserve">As with the wider Nestlé/Danone infant-nutrition category, formula marketing practices (particularly in lower-income markets) have historically drawn reputational and regulatory scrutiny industry-wide — relevant background for anyone using this category for case-study or comparative brand analysis.</w:t>
      </w:r>
    </w:p>
    <w:p>
      <w:pPr>
        <w:pStyle w:val="Heading1"/>
        <w:spacing w:after="150" w:before="300"/>
      </w:pPr>
      <w:r>
        <w:t xml:space="preserve">Source Note</w:t>
      </w:r>
    </w:p>
    <w:p>
      <w:pPr>
        <w:spacing w:after="200"/>
      </w:pPr>
      <w:r>
        <w:rPr>
          <w:i/>
          <w:iCs/>
          <w:color w:val="555555"/>
          <w:sz w:val="20"/>
          <w:szCs w:val="20"/>
        </w:rPr>
        <w:t xml:space="preserve">Compiled from Aptamil's and Danone Nutricia's public-facing statements, product communications, and third-party nutrition-policy and brand analysis as of August 2026. This document is a reference/analysis aid only — it is not medical or nutritional advice, and for any external-facing, regulatory, or clinical use, claims must be verified against current, market-specific regulatory approvals and official Danone Nutricia materials, and parents should consult a healthcare professional for infant feeding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2026-09-02T05:54:56.430Z</dcterms:created>
  <dcterms:modified xsi:type="dcterms:W3CDTF">2026-09-02T05:54:56.441Z</dcterms:modified>
</cp:coreProperties>
</file>

<file path=docProps/custom.xml><?xml version="1.0" encoding="utf-8"?>
<Properties xmlns="http://schemas.openxmlformats.org/officeDocument/2006/custom-properties" xmlns:vt="http://schemas.openxmlformats.org/officeDocument/2006/docPropsVTypes"/>
</file>