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Garnier — Brand Overview</w:t>
      </w:r>
    </w:p>
    <w:p>
      <w:pPr>
        <w:spacing w:after="200"/>
      </w:pPr>
      <w:r>
        <w:rPr>
          <w:i/>
          <w:iCs/>
          <w:color w:val="555555"/>
          <w:sz w:val="20"/>
          <w:szCs w:val="20"/>
        </w:rPr>
        <w:t xml:space="preserve">A compiled reference document based on Garnier's publicly stated positioning, claims, and product benefits. This is an independently compiled summary for reference and analysis purposes — it is not an official or internal Garnier/L'Oréal publication. Focused on content, claims, and benefits rather than brand history.</w:t>
      </w:r>
    </w:p>
    <w:p>
      <w:pPr>
        <w:pStyle w:val="Heading1"/>
        <w:spacing w:after="150" w:before="200"/>
      </w:pPr>
      <w:r>
        <w:t xml:space="preserve">Brand Snapshot</w:t>
      </w:r>
    </w:p>
    <w:p>
      <w:pPr>
        <w:spacing w:after="200"/>
      </w:pPr>
      <w:r>
        <w:t xml:space="preserve">Garnier is a mass-market beauty brand owned by L'Oréal, spanning three core categories — hair care, hair colour, and skincare — sold in over 100 markets. Its positioning is built on a single consistent idea: natural inspiration validated by science, delivered at accessible, everyday price points. Publicly, this is summarised as 'Green Beauty' — the claim that effective, dermatologically-tested beauty and genuine environmental responsibility aren't a trade-off.</w:t>
      </w:r>
    </w:p>
    <w:p>
      <w:pPr>
        <w:pStyle w:val="Heading1"/>
        <w:spacing w:after="150" w:before="300"/>
      </w:pPr>
      <w:r>
        <w:t xml:space="preserve">Brand Claims</w:t>
      </w:r>
    </w:p>
    <w:p>
      <w:pPr>
        <w:spacing w:after="200"/>
      </w:pPr>
      <w:r>
        <w:t xml:space="preserve">Across the portfolio, Garnier's public claims consistently cluster around four themes:</w:t>
      </w:r>
    </w:p>
    <w:p>
      <w:pPr>
        <w:pStyle w:val="ListParagraph"/>
        <w:numPr>
          <w:ilvl w:val="0"/>
          <w:numId w:val="1"/>
        </w:numPr>
        <w:spacing w:after="120"/>
      </w:pPr>
      <w:r>
        <w:t xml:space="preserve">Natural inspiration, science-backed — formulas built around plant and fruit-derived ingredients, positioned as 'nature-inspired' rather than purely synthetic, but validated through dermatological testing rather than marketed on naturalness alone.</w:t>
      </w:r>
    </w:p>
    <w:p>
      <w:pPr>
        <w:pStyle w:val="ListParagraph"/>
        <w:numPr>
          <w:ilvl w:val="0"/>
          <w:numId w:val="1"/>
        </w:numPr>
        <w:spacing w:after="120"/>
      </w:pPr>
      <w:r>
        <w:t xml:space="preserve">Visible, straightforward efficacy — claims are typically results-led and concrete (brighter skin, stronger hair, longer-lasting colour) rather than abstract brand language, aimed at a value-conscious mass-market shopper who wants to see a clear before/after.</w:t>
      </w:r>
    </w:p>
    <w:p>
      <w:pPr>
        <w:pStyle w:val="ListParagraph"/>
        <w:numPr>
          <w:ilvl w:val="0"/>
          <w:numId w:val="1"/>
        </w:numPr>
        <w:spacing w:after="120"/>
      </w:pPr>
      <w:r>
        <w:t xml:space="preserve">Accessibility — a 'good–better–best' price architecture (entry mass-market lines up to premium-technology lines like Olia and Green Labs) keeps efficacy claims within reach of an everyday household budget rather than positioning any single price point as the standard.</w:t>
      </w:r>
    </w:p>
    <w:p>
      <w:pPr>
        <w:pStyle w:val="ListParagraph"/>
        <w:numPr>
          <w:ilvl w:val="0"/>
          <w:numId w:val="1"/>
        </w:numPr>
        <w:spacing w:after="120"/>
      </w:pPr>
      <w:r>
        <w:t xml:space="preserve">Sustainability as a core claim, not an add-on — Garnier was the first brand to bring certified organic skincare to the mass market, and continues to lead its communications with specific, quantified environmental commitments (below) rather than general green language.</w:t>
      </w:r>
    </w:p>
    <w:p>
      <w:pPr>
        <w:spacing w:after="200"/>
      </w:pPr>
      <w:r>
        <w:rPr>
          <w:i/>
          <w:iCs/>
          <w:color w:val="555555"/>
          <w:sz w:val="20"/>
          <w:szCs w:val="20"/>
        </w:rPr>
        <w:t xml:space="preserve">Note: these are brand-level positioning themes drawn from public sources, not verified regulatory claims. Specific product claims (actives, percentages, certifications) vary by SKU, formulation, and market, and should be verified against current product packaging/regulatory filings for any compliance-sensitive use.</w:t>
      </w:r>
    </w:p>
    <w:p>
      <w:pPr>
        <w:pStyle w:val="Heading1"/>
        <w:spacing w:after="150" w:before="300"/>
      </w:pPr>
      <w:r>
        <w:t xml:space="preserve">Product Ranges &amp; Core Benefits</w:t>
      </w:r>
    </w:p>
    <w:p>
      <w:pPr>
        <w:pStyle w:val="Heading2"/>
        <w:spacing w:after="100" w:before="200"/>
      </w:pPr>
      <w:r>
        <w:t xml:space="preserve">SkinActive — including Micellar Water</w:t>
      </w:r>
    </w:p>
    <w:p>
      <w:pPr>
        <w:pStyle w:val="ListParagraph"/>
        <w:numPr>
          <w:ilvl w:val="0"/>
          <w:numId w:val="1"/>
        </w:numPr>
        <w:spacing w:after="120"/>
      </w:pPr>
      <w:r>
        <w:t xml:space="preserve">Core benefit claim: gentle, effective one-step cleansing and makeup removal without rinsing or harsh rubbing — micellar technology claimed to lift dirt and makeup without stripping skin.</w:t>
      </w:r>
    </w:p>
    <w:p>
      <w:pPr>
        <w:pStyle w:val="ListParagraph"/>
        <w:numPr>
          <w:ilvl w:val="0"/>
          <w:numId w:val="1"/>
        </w:numPr>
        <w:spacing w:after="120"/>
      </w:pPr>
      <w:r>
        <w:t xml:space="preserve">Extended range (e.g. Vitamin C line): brightening and radiance benefits, aimed at dullness and uneven tone.</w:t>
      </w:r>
    </w:p>
    <w:p>
      <w:pPr>
        <w:pStyle w:val="ListParagraph"/>
        <w:numPr>
          <w:ilvl w:val="0"/>
          <w:numId w:val="1"/>
        </w:numPr>
        <w:spacing w:after="120"/>
      </w:pPr>
      <w:r>
        <w:t xml:space="preserve">Sustainability angle: no-rinse formats are highlighted as reducing consumer water use during the product-use phase.</w:t>
      </w:r>
    </w:p>
    <w:p>
      <w:pPr>
        <w:pStyle w:val="Heading2"/>
        <w:spacing w:after="100" w:before="200"/>
      </w:pPr>
      <w:r>
        <w:t xml:space="preserve">Fructis</w:t>
      </w:r>
    </w:p>
    <w:p>
      <w:pPr>
        <w:pStyle w:val="ListParagraph"/>
        <w:numPr>
          <w:ilvl w:val="0"/>
          <w:numId w:val="1"/>
        </w:numPr>
        <w:spacing w:after="120"/>
      </w:pPr>
      <w:r>
        <w:t xml:space="preserve">Core benefit claim: fruit-derived actives (e.g. grape seed, apricot) positioned to nourish, strengthen, and add shine to hair — the fruit-derived ingredient story is central to how the benefit is communicated, not incidental.</w:t>
      </w:r>
    </w:p>
    <w:p>
      <w:pPr>
        <w:pStyle w:val="Heading2"/>
        <w:spacing w:after="100" w:before="200"/>
      </w:pPr>
      <w:r>
        <w:t xml:space="preserve">Whole Blends / Ultra Doux</w:t>
      </w:r>
    </w:p>
    <w:p>
      <w:pPr>
        <w:pStyle w:val="ListParagraph"/>
        <w:numPr>
          <w:ilvl w:val="0"/>
          <w:numId w:val="1"/>
        </w:numPr>
        <w:spacing w:after="120"/>
      </w:pPr>
      <w:r>
        <w:t xml:space="preserve">Core benefit claim: botanical ingredient blends positioned for gentle, nourishing, sensory-led everyday hair care — differentiated from Fructis mainly by a softer, more indulgent positioning rather than a performance claim.</w:t>
      </w:r>
    </w:p>
    <w:p>
      <w:pPr>
        <w:pStyle w:val="Heading2"/>
        <w:spacing w:after="100" w:before="200"/>
      </w:pPr>
      <w:r>
        <w:t xml:space="preserve">Nutrisse (permanent hair colour)</w:t>
      </w:r>
    </w:p>
    <w:p>
      <w:pPr>
        <w:pStyle w:val="ListParagraph"/>
        <w:numPr>
          <w:ilvl w:val="0"/>
          <w:numId w:val="1"/>
        </w:numPr>
        <w:spacing w:after="120"/>
      </w:pPr>
      <w:r>
        <w:t xml:space="preserve">Core benefit claim: oil-infused colour formula positioned to nourish hair during the colouring process, aiming to reduce the dryness/damage historically associated with at-home colouring.</w:t>
      </w:r>
    </w:p>
    <w:p>
      <w:pPr>
        <w:pStyle w:val="Heading2"/>
        <w:spacing w:after="100" w:before="200"/>
      </w:pPr>
      <w:r>
        <w:t xml:space="preserve">Olia (permanent hair colour)</w:t>
      </w:r>
    </w:p>
    <w:p>
      <w:pPr>
        <w:pStyle w:val="ListParagraph"/>
        <w:numPr>
          <w:ilvl w:val="0"/>
          <w:numId w:val="1"/>
        </w:numPr>
        <w:spacing w:after="120"/>
      </w:pPr>
      <w:r>
        <w:t xml:space="preserve">Core benefit claim: oil-powered, ammonia-free colour technology positioned as a higher-performance innovation tier — claiming smoother application, richer colour result, and less discomfort/odour than traditional formulas.</w:t>
      </w:r>
    </w:p>
    <w:p>
      <w:pPr>
        <w:pStyle w:val="Heading2"/>
        <w:spacing w:after="100" w:before="200"/>
      </w:pPr>
      <w:r>
        <w:t xml:space="preserve">Ambre Solaire (sun care)</w:t>
      </w:r>
    </w:p>
    <w:p>
      <w:pPr>
        <w:pStyle w:val="ListParagraph"/>
        <w:numPr>
          <w:ilvl w:val="0"/>
          <w:numId w:val="1"/>
        </w:numPr>
        <w:spacing w:after="120"/>
      </w:pPr>
      <w:r>
        <w:t xml:space="preserve">Core benefit claim: sun protection combined with skincare benefits (hydration, skin-feel, anti-ageing angles in parts of the range) — positioned as protective skincare rather than a purely functional sunscreen.</w:t>
      </w:r>
    </w:p>
    <w:p>
      <w:pPr>
        <w:pStyle w:val="Heading1"/>
        <w:spacing w:after="150" w:before="300"/>
      </w:pPr>
      <w:r>
        <w:t xml:space="preserve">Sustainability &amp; Responsibility Claims</w:t>
      </w:r>
    </w:p>
    <w:p>
      <w:pPr>
        <w:spacing w:after="200"/>
      </w:pPr>
      <w:r>
        <w:t xml:space="preserve">This is one of the most specific, quantified parts of Garnier's public claims set, under the 'Green Beauty' program:</w:t>
      </w:r>
    </w:p>
    <w:p>
      <w:pPr>
        <w:pStyle w:val="ListParagraph"/>
        <w:numPr>
          <w:ilvl w:val="0"/>
          <w:numId w:val="1"/>
        </w:numPr>
        <w:spacing w:after="120"/>
      </w:pPr>
      <w:r>
        <w:t xml:space="preserve">Targeting 95% of ingredients bio-based, derived from abundant minerals, or sourced from circular processes by 2030 (reported at roughly 63% achieved as of recent public disclosures).</w:t>
      </w:r>
    </w:p>
    <w:p>
      <w:pPr>
        <w:pStyle w:val="ListParagraph"/>
        <w:numPr>
          <w:ilvl w:val="0"/>
          <w:numId w:val="1"/>
        </w:numPr>
        <w:spacing w:after="120"/>
      </w:pPr>
      <w:r>
        <w:t xml:space="preserve">Roughly 83–84% of formulas reported as biodegradable, with the most environmentally impactful ingredients (including certain silicones) phased out.</w:t>
      </w:r>
    </w:p>
    <w:p>
      <w:pPr>
        <w:pStyle w:val="ListParagraph"/>
        <w:numPr>
          <w:ilvl w:val="0"/>
          <w:numId w:val="1"/>
        </w:numPr>
        <w:spacing w:after="120"/>
      </w:pPr>
      <w:r>
        <w:t xml:space="preserve">Around 75% of plastic packaging reported as recyclable, with continued removal of packaging elements that hinder recycling (e.g. metallised labels, opaque PET).</w:t>
      </w:r>
    </w:p>
    <w:p>
      <w:pPr>
        <w:pStyle w:val="ListParagraph"/>
        <w:numPr>
          <w:ilvl w:val="0"/>
          <w:numId w:val="1"/>
        </w:numPr>
        <w:spacing w:after="120"/>
      </w:pPr>
      <w:r>
        <w:t xml:space="preserve">An EcoBeautyScore labelling system (A–E impact rating, piloted in select markets/categories such as French and German facecare) aimed at giving consumers a comparable environmental-impact signal at shelf.</w:t>
      </w:r>
    </w:p>
    <w:p>
      <w:pPr>
        <w:pStyle w:val="ListParagraph"/>
        <w:numPr>
          <w:ilvl w:val="0"/>
          <w:numId w:val="1"/>
        </w:numPr>
        <w:spacing w:after="120"/>
      </w:pPr>
      <w:r>
        <w:t xml:space="preserve">Leaping Bunny cruelty-free certification (since 2021) and an expanding vegan-formula claim across parts of the range.</w:t>
      </w:r>
    </w:p>
    <w:p>
      <w:pPr>
        <w:pStyle w:val="ListParagraph"/>
        <w:numPr>
          <w:ilvl w:val="0"/>
          <w:numId w:val="1"/>
        </w:numPr>
        <w:spacing w:after="120"/>
      </w:pPr>
      <w:r>
        <w:t xml:space="preserve">A 'Solidarity Sourcing' program cited as supporting several hundred farming/sourcing communities globally through fair-trade-style ingredient sourcing.</w:t>
      </w:r>
    </w:p>
    <w:p>
      <w:pPr>
        <w:spacing w:after="200"/>
      </w:pPr>
      <w:r>
        <w:rPr>
          <w:i/>
          <w:iCs/>
          <w:color w:val="555555"/>
          <w:sz w:val="20"/>
          <w:szCs w:val="20"/>
        </w:rPr>
        <w:t xml:space="preserve">Figures above are drawn from Garnier's own public sustainability communications as of the sources available in August 2026 and are self-reported brand commitments/progress figures, not independently audited results — treat as directional rather than verified for any external or compliance use.</w:t>
      </w:r>
    </w:p>
    <w:p>
      <w:pPr>
        <w:pStyle w:val="Heading1"/>
        <w:spacing w:after="150" w:before="300"/>
      </w:pPr>
      <w:r>
        <w:t xml:space="preserve">Source Note</w:t>
      </w:r>
    </w:p>
    <w:p>
      <w:pPr>
        <w:spacing w:after="200"/>
      </w:pPr>
      <w:r>
        <w:rPr>
          <w:i/>
          <w:iCs/>
          <w:color w:val="555555"/>
          <w:sz w:val="20"/>
          <w:szCs w:val="20"/>
        </w:rPr>
        <w:t xml:space="preserve">Compiled from Garnier's and L'Oréal's public-facing statements, product communications, and third-party brand/marketing analysis as of August 2026. This document is intended as a reference/analysis aid — for any external-facing, legal, or regulatory use, verify current claims against Garnier's official brand and regulatory materials directly.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2026-08-27T11:09:44.663Z</dcterms:created>
  <dcterms:modified xsi:type="dcterms:W3CDTF">2026-08-27T11:09:44.679Z</dcterms:modified>
</cp:coreProperties>
</file>

<file path=docProps/custom.xml><?xml version="1.0" encoding="utf-8"?>
<Properties xmlns="http://schemas.openxmlformats.org/officeDocument/2006/custom-properties" xmlns:vt="http://schemas.openxmlformats.org/officeDocument/2006/docPropsVTypes"/>
</file>