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AntifragiCity Data Inventory — Analytical Report</w:t>
      </w:r>
    </w:p>
    <w:p>
      <w:pPr>
        <w:spacing w:after="240" w:before="0"/>
        <w:jc w:val="center"/>
      </w:pPr>
      <w:r>
        <w:rPr>
          <w:rFonts w:ascii="Times New Roman" w:cs="Times New Roman" w:eastAsia="Times New Roman" w:hAnsi="Times New Roman"/>
          <w:i/>
          <w:iCs/>
          <w:sz w:val="20"/>
          <w:szCs w:val="20"/>
        </w:rPr>
        <w:t xml:space="preserve">EU Horizon Europe · Grant No. 101203052 · 1 May 2026</w:t>
      </w:r>
    </w:p>
    <w:p>
      <w:pPr>
        <w:pBdr>
          <w:bottom w:val="single" w:color="000000" w:sz="6" w:space="1"/>
        </w:pBdr>
        <w:spacing w:after="80" w:before="200"/>
      </w:pPr>
      <w:r>
        <w:rPr>
          <w:rFonts w:ascii="Times New Roman" w:cs="Times New Roman" w:eastAsia="Times New Roman" w:hAnsi="Times New Roman"/>
          <w:b/>
          <w:bCs/>
          <w:sz w:val="24"/>
          <w:szCs w:val="24"/>
        </w:rPr>
        <w:t xml:space="preserve">I. Summary</w:t>
      </w:r>
    </w:p>
    <w:p>
      <w:pPr>
        <w:spacing w:after="80" w:before="80"/>
        <w:jc w:val="both"/>
      </w:pPr>
      <w:r>
        <w:rPr>
          <w:rFonts w:ascii="Times New Roman" w:cs="Times New Roman" w:eastAsia="Times New Roman" w:hAnsi="Times New Roman"/>
          <w:sz w:val="22"/>
          <w:szCs w:val="22"/>
        </w:rPr>
        <w:t xml:space="preserve">The consolidated AntifragiCity data inventory contains 266 distinct variables across nine source documents: D2.1, D2.3, D2.5, D2.6, D2.7, D3.2, D3.3, D4.2, and the KPI Gap Analysis. Two analytical columns have been introduced in the current revision — role and data_role — enabling a critical correction to the headline acquisition burden. When variables are filtered by data_role = input and availability = not yet collected, the genuine external acquisition target is 23 high-priority variables, not 85 as previously reported. The remaining 62 formerly flagged variables are either downstream model outputs that will materialise once inputs are acquired and processed, or calibration parameters that emerge during model runs. This correction substantially revises the strategic framing of the data acquisition plan.</w:t>
      </w:r>
    </w:p>
    <w:p>
      <w:pPr>
        <w:pBdr>
          <w:bottom w:val="single" w:color="000000" w:sz="6" w:space="1"/>
        </w:pBdr>
        <w:spacing w:after="80" w:before="200"/>
      </w:pPr>
      <w:r>
        <w:rPr>
          <w:rFonts w:ascii="Times New Roman" w:cs="Times New Roman" w:eastAsia="Times New Roman" w:hAnsi="Times New Roman"/>
          <w:b/>
          <w:bCs/>
          <w:sz w:val="24"/>
          <w:szCs w:val="24"/>
        </w:rPr>
        <w:t xml:space="preserve">II. Role and Data-Role Classification</w:t>
      </w:r>
    </w:p>
    <w:p>
      <w:pPr>
        <w:spacing w:after="80" w:before="80"/>
        <w:jc w:val="both"/>
      </w:pPr>
      <w:r>
        <w:rPr>
          <w:rFonts w:ascii="Times New Roman" w:cs="Times New Roman" w:eastAsia="Times New Roman" w:hAnsi="Times New Roman"/>
          <w:sz w:val="22"/>
          <w:szCs w:val="22"/>
        </w:rPr>
        <w:t xml:space="preserve">Two columns have been added to all 266 rows of the inventory. The role column denotes what kind of object the variable is within the framework, with values: KPI, input_variable, computed_variable, and parameter. The data_role column denotes its position in the data pipeline, with values: input, output, and parameter. Together, these columns enable targeted filtering for acquisition planning.</w:t>
      </w:r>
    </w:p>
    <w:p>
      <w:pPr>
        <w:spacing w:after="0" w:before="10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4500"/>
        <w:gridCol w:w="1763"/>
        <w:gridCol w:w="1763"/>
      </w:tblGrid>
      <w:tr>
        <w:tc>
          <w:tcPr>
            <w:tcW w:type="dxa" w:w="4500"/>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Role</w:t>
            </w:r>
          </w:p>
        </w:tc>
        <w:tc>
          <w:tcPr>
            <w:tcW w:type="dxa" w:w="1763"/>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Count</w:t>
            </w:r>
          </w:p>
        </w:tc>
        <w:tc>
          <w:tcPr>
            <w:tcW w:type="dxa" w:w="1763"/>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KPI</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162</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61%</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computed_variable</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56</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21%</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input_variable</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29</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11%</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parameter</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19</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7%</w:t>
            </w:r>
          </w:p>
        </w:tc>
      </w:tr>
    </w:tbl>
    <w:p>
      <w:pPr>
        <w:spacing w:after="0" w:before="100"/>
      </w:pPr>
    </w:p>
    <w:p>
      <w:pPr>
        <w:spacing w:after="80" w:before="80"/>
        <w:jc w:val="both"/>
      </w:pPr>
      <w:r>
        <w:rPr>
          <w:rFonts w:ascii="Times New Roman" w:cs="Times New Roman" w:eastAsia="Times New Roman" w:hAnsi="Times New Roman"/>
          <w:sz w:val="22"/>
          <w:szCs w:val="22"/>
        </w:rPr>
        <w:t xml:space="preserve">The KPI category dominates because Layer 1 indicators from the D2.7 catalogue and Layer 3 SUMA tool KPIs are both classified as KPIs by role. Computed variables (21%) are mostly Layer 2 model state quantities — outputs of the D2.3, D3.2, D3.3, and D4.2 algorithms. The 19 parameters comprise calibration constants such as Sobol indices, weighting vectors, decay parameters, and the D4.2 distance-decay and route-choice parameters.</w:t>
      </w:r>
    </w:p>
    <w:p>
      <w:pPr>
        <w:spacing w:after="0" w:before="10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4500"/>
        <w:gridCol w:w="1763"/>
        <w:gridCol w:w="1763"/>
      </w:tblGrid>
      <w:tr>
        <w:tc>
          <w:tcPr>
            <w:tcW w:type="dxa" w:w="4500"/>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Data Role</w:t>
            </w:r>
          </w:p>
        </w:tc>
        <w:tc>
          <w:tcPr>
            <w:tcW w:type="dxa" w:w="1763"/>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Count</w:t>
            </w:r>
          </w:p>
        </w:tc>
        <w:tc>
          <w:tcPr>
            <w:tcW w:type="dxa" w:w="1763"/>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input</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160</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60%</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output</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87</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33%</w:t>
            </w:r>
          </w:p>
        </w:tc>
      </w:tr>
      <w:t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parameter</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19</w:t>
            </w:r>
          </w:p>
        </w:tc>
        <w:tc>
          <w:tcPr>
            <w:tcW w:type="dxa" w:w="1763"/>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7%</w:t>
            </w:r>
          </w:p>
        </w:tc>
      </w:tr>
    </w:tbl>
    <w:p>
      <w:pPr>
        <w:spacing w:after="0" w:before="100"/>
      </w:pPr>
    </w:p>
    <w:p>
      <w:pPr>
        <w:spacing w:after="80" w:before="80"/>
        <w:jc w:val="both"/>
      </w:pPr>
      <w:r>
        <w:rPr>
          <w:rFonts w:ascii="Times New Roman" w:cs="Times New Roman" w:eastAsia="Times New Roman" w:hAnsi="Times New Roman"/>
          <w:sz w:val="22"/>
          <w:szCs w:val="22"/>
        </w:rPr>
        <w:t xml:space="preserve">Input dominance reflects the predominance of directly observed urban indicators feeding into both reporting and model computation. Outputs include all Layer 3 SUMA tool KPIs, all Layer 2 computed variables, and a subset of Layer 1 KPIs that are themselves composite indices — such as the Antifragility Factor AF, system recovery rate, and 15-minute city index.</w:t>
      </w:r>
    </w:p>
    <w:p>
      <w:pPr>
        <w:spacing w:after="0" w:before="100"/>
      </w:pPr>
    </w:p>
    <w:p>
      <w:pPr>
        <w:spacing w:after="80" w:before="80"/>
        <w:jc w:val="both"/>
      </w:pPr>
      <w:r>
        <w:rPr>
          <w:rFonts w:ascii="Times New Roman" w:cs="Times New Roman" w:eastAsia="Times New Roman" w:hAnsi="Times New Roman"/>
          <w:sz w:val="22"/>
          <w:szCs w:val="22"/>
        </w:rPr>
        <w:t xml:space="preserve">The role x data_role cross-tabulation is instructive. All 56 computed variables are outputs; all 19 parameters are parameters; and 27 of the 29 input_variables are inputs. Of the 162 KPIs, 133 are inputs and 29 are outputs. These 29 KPIs-as-outputs are analytically significant: they are reportable indicators whose values depend on prior computation and cannot be acquired in the conventional sense.</w:t>
      </w:r>
    </w:p>
    <w:p>
      <w:pPr>
        <w:spacing w:after="0" w:before="100"/>
      </w:pP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500"/>
        <w:gridCol w:w="2175"/>
        <w:gridCol w:w="2175"/>
        <w:gridCol w:w="2176"/>
      </w:tblGrid>
      <w:tr>
        <w:tc>
          <w:tcPr>
            <w:tcW w:type="dxa" w:w="3500"/>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
            </w:r>
          </w:p>
        </w:tc>
        <w:tc>
          <w:tcPr>
            <w:tcW w:type="dxa" w:w="2175"/>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input</w:t>
            </w:r>
          </w:p>
        </w:tc>
        <w:tc>
          <w:tcPr>
            <w:tcW w:type="dxa" w:w="2175"/>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output</w:t>
            </w:r>
          </w:p>
        </w:tc>
        <w:tc>
          <w:tcPr>
            <w:tcW w:type="dxa" w:w="2176"/>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parameter</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KPI</w:t>
            </w:r>
          </w:p>
        </w:tc>
        <w:tc>
          <w:tcPr>
            <w:tcW w:type="dxa" w:w="2175"/>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133</w:t>
            </w:r>
          </w:p>
        </w:tc>
        <w:tc>
          <w:tcPr>
            <w:tcW w:type="dxa" w:w="2175"/>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29</w:t>
            </w:r>
          </w:p>
        </w:tc>
        <w:tc>
          <w:tcPr>
            <w:tcW w:type="dxa" w:w="217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0</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computed_variable</w:t>
            </w:r>
          </w:p>
        </w:tc>
        <w:tc>
          <w:tcPr>
            <w:tcW w:type="dxa" w:w="2175"/>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0</w:t>
            </w:r>
          </w:p>
        </w:tc>
        <w:tc>
          <w:tcPr>
            <w:tcW w:type="dxa" w:w="2175"/>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56</w:t>
            </w:r>
          </w:p>
        </w:tc>
        <w:tc>
          <w:tcPr>
            <w:tcW w:type="dxa" w:w="217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0</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input_variable</w:t>
            </w:r>
          </w:p>
        </w:tc>
        <w:tc>
          <w:tcPr>
            <w:tcW w:type="dxa" w:w="2175"/>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27</w:t>
            </w:r>
          </w:p>
        </w:tc>
        <w:tc>
          <w:tcPr>
            <w:tcW w:type="dxa" w:w="2175"/>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w:t>
            </w:r>
          </w:p>
        </w:tc>
        <w:tc>
          <w:tcPr>
            <w:tcW w:type="dxa" w:w="217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0</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parameter</w:t>
            </w:r>
          </w:p>
        </w:tc>
        <w:tc>
          <w:tcPr>
            <w:tcW w:type="dxa" w:w="2175"/>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0</w:t>
            </w:r>
          </w:p>
        </w:tc>
        <w:tc>
          <w:tcPr>
            <w:tcW w:type="dxa" w:w="2175"/>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0</w:t>
            </w:r>
          </w:p>
        </w:tc>
        <w:tc>
          <w:tcPr>
            <w:tcW w:type="dxa" w:w="217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19</w:t>
            </w:r>
          </w:p>
        </w:tc>
      </w:tr>
    </w:tbl>
    <w:p>
      <w:pPr>
        <w:pBdr>
          <w:bottom w:val="single" w:color="000000" w:sz="6" w:space="1"/>
        </w:pBdr>
        <w:spacing w:after="80" w:before="200"/>
      </w:pPr>
      <w:r>
        <w:rPr>
          <w:rFonts w:ascii="Times New Roman" w:cs="Times New Roman" w:eastAsia="Times New Roman" w:hAnsi="Times New Roman"/>
          <w:b/>
          <w:bCs/>
          <w:sz w:val="24"/>
          <w:szCs w:val="24"/>
        </w:rPr>
        <w:t xml:space="preserve">III. Corrected Acquisition Burden</w:t>
      </w:r>
    </w:p>
    <w:p>
      <w:pPr>
        <w:spacing w:after="80" w:before="80"/>
        <w:jc w:val="both"/>
      </w:pPr>
      <w:r>
        <w:rPr>
          <w:rFonts w:ascii="Times New Roman" w:cs="Times New Roman" w:eastAsia="Times New Roman" w:hAnsi="Times New Roman"/>
          <w:sz w:val="22"/>
          <w:szCs w:val="22"/>
        </w:rPr>
        <w:t xml:space="preserve">The previous headline — 85 high-priority variables not yet collected — was correct as a count but conflated three categorically distinct cases. The corrected breakdown is as follows.</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826"/>
      </w:tblGrid>
      <w:tr>
        <w:tc>
          <w:tcPr>
            <w:tcW w:type="dxa" w:w="3800"/>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Category</w:t>
            </w:r>
          </w:p>
        </w:tc>
        <w:tc>
          <w:tcPr>
            <w:tcW w:type="dxa" w:w="1400"/>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Count</w:t>
            </w:r>
          </w:p>
        </w:tc>
        <w:tc>
          <w:tcPr>
            <w:tcW w:type="dxa" w:w="3826"/>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Implication</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Actual acquisition targets (data_role = input)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23</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Real data to be obtained externally</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Outputs (data_role = output)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56</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Will materialise once inputs are acquired and computed</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Parameters (data_role = parameter)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6</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Estimated during model calibration, not collected</w:t>
            </w:r>
          </w:p>
        </w:tc>
      </w:tr>
      <w:tr>
        <w:tc>
          <w:tcPr>
            <w:tcW w:type="dxa" w:w="3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Total formerly reported as not yet collected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85</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r>
    </w:tbl>
    <w:p>
      <w:pPr>
        <w:spacing w:after="0" w:before="100"/>
      </w:pPr>
    </w:p>
    <w:p>
      <w:pPr>
        <w:spacing w:after="80" w:before="80"/>
        <w:jc w:val="both"/>
      </w:pPr>
      <w:r>
        <w:rPr>
          <w:rFonts w:ascii="Times New Roman" w:cs="Times New Roman" w:eastAsia="Times New Roman" w:hAnsi="Times New Roman"/>
          <w:sz w:val="22"/>
          <w:szCs w:val="22"/>
        </w:rPr>
        <w:t xml:space="preserve">The actual external acquisition target is therefore 23 high-priority variables — a 73% reduction in apparent burden. The project does not need to acquire 85 items; it needs to acquire 23 inputs, run the models, and the outputs follow. This distinction is fundamental to the Phase 1 partner conversation and the data acquisition plan.</w:t>
      </w:r>
    </w:p>
    <w:p>
      <w:pPr>
        <w:pBdr>
          <w:bottom w:val="single" w:color="000000" w:sz="6" w:space="1"/>
        </w:pBdr>
        <w:spacing w:after="80" w:before="200"/>
      </w:pPr>
      <w:r>
        <w:rPr>
          <w:rFonts w:ascii="Times New Roman" w:cs="Times New Roman" w:eastAsia="Times New Roman" w:hAnsi="Times New Roman"/>
          <w:b/>
          <w:bCs/>
          <w:sz w:val="24"/>
          <w:szCs w:val="24"/>
        </w:rPr>
        <w:t xml:space="preserve">IV. The 23 High-Priority Acquisition Targets</w:t>
      </w:r>
    </w:p>
    <w:p>
      <w:pPr>
        <w:spacing w:after="80" w:before="80"/>
        <w:jc w:val="both"/>
      </w:pPr>
      <w:r>
        <w:rPr>
          <w:rFonts w:ascii="Times New Roman" w:cs="Times New Roman" w:eastAsia="Times New Roman" w:hAnsi="Times New Roman"/>
          <w:sz w:val="22"/>
          <w:szCs w:val="22"/>
        </w:rPr>
        <w:t xml:space="preserve">The following variables require external sourcing — from pilot cities, public datasets, partner agreements, or new collection. This list should drive Phase 1 partner engagement.</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Theme</w:t>
            </w:r>
          </w:p>
        </w:tc>
        <w:tc>
          <w:tcPr>
            <w:tcW w:type="dxa" w:w="6026"/>
            <w:tcBorders>
              <w:top w:val="single" w:color="999999" w:sz="1"/>
              <w:left w:val="single" w:color="999999" w:sz="1"/>
              <w:bottom w:val="single" w:color="999999" w:sz="1"/>
              <w:right w:val="single" w:color="999999"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Variable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long_term_capacity_change_vector</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system_state_vector_G</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antifragility_score_ontology</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resilience_index_ontology</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fragility_metric_ontology</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system_performance_time_series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equilibrium_gap</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data_quality_score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data_trust_score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system_state_antifragility_score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system_state_adaptive_capacity</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fleet_redeployment_response_time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person_trips_served_per_hour</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Supply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simulated_link_flow</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Digital</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long_term_learning_state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Social</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equitable_access_disruption_penalty</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Governance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policy_resilience_impact_score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Economic</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passenger_waiting_cost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Economic</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total_recovery_effort_cost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Disruption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exposure_component_Exp</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Disruption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implementation_tier_hazard</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Disruption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failure_mode_category_d33</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Disruption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smi_pillar_affected</w:t>
            </w:r>
          </w:p>
        </w:tc>
      </w:tr>
    </w:tbl>
    <w:p>
      <w:pPr>
        <w:spacing w:after="0" w:before="100"/>
      </w:pPr>
    </w:p>
    <w:p>
      <w:pPr>
        <w:spacing w:after="80" w:before="80"/>
        <w:jc w:val="both"/>
      </w:pPr>
      <w:r>
        <w:rPr>
          <w:rFonts w:ascii="Times New Roman" w:cs="Times New Roman" w:eastAsia="Times New Roman" w:hAnsi="Times New Roman"/>
          <w:sz w:val="22"/>
          <w:szCs w:val="22"/>
        </w:rPr>
        <w:t xml:space="preserve">The supply theme accounts for 14 of the 23 targets, reflecting D2.3's heavy reliance on directly observed transport state variables. Disruption contributes 4, economic 2, and social, digital, and governance one each.</w:t>
      </w:r>
    </w:p>
    <w:p>
      <w:pPr>
        <w:pBdr>
          <w:bottom w:val="single" w:color="000000" w:sz="6" w:space="1"/>
        </w:pBdr>
        <w:spacing w:after="80" w:before="200"/>
      </w:pPr>
      <w:r>
        <w:rPr>
          <w:rFonts w:ascii="Times New Roman" w:cs="Times New Roman" w:eastAsia="Times New Roman" w:hAnsi="Times New Roman"/>
          <w:b/>
          <w:bCs/>
          <w:sz w:val="24"/>
          <w:szCs w:val="24"/>
        </w:rPr>
        <w:t xml:space="preserve">V. Implications for Partner Validation</w:t>
      </w:r>
    </w:p>
    <w:p>
      <w:pPr>
        <w:spacing w:after="80" w:before="80"/>
        <w:jc w:val="both"/>
      </w:pPr>
      <w:r>
        <w:rPr>
          <w:rFonts w:ascii="Times New Roman" w:cs="Times New Roman" w:eastAsia="Times New Roman" w:hAnsi="Times New Roman"/>
          <w:sz w:val="22"/>
          <w:szCs w:val="22"/>
        </w:rPr>
        <w:t xml:space="preserve">The four-category partner classification — A available, B derivable, C effortful, D low probability — should be applied only to variables where data_role = input. Asking partners to assess output and parameter variables would constitute a category error: outputs cannot be acquired, and parameters cannot be confirmed before model calibration runs are performed.</w:t>
      </w:r>
    </w:p>
    <w:p>
      <w:pPr>
        <w:spacing w:after="80" w:before="80"/>
        <w:jc w:val="both"/>
      </w:pPr>
      <w:r>
        <w:rPr>
          <w:rFonts w:ascii="Times New Roman" w:cs="Times New Roman" w:eastAsia="Times New Roman" w:hAnsi="Times New Roman"/>
          <w:sz w:val="22"/>
          <w:szCs w:val="22"/>
        </w:rPr>
        <w:t xml:space="preserve">The filtered list for partner validation comprises all 160 input variables. Of these, 23 high-priority inputs are not yet collected and constitute the priority list for Phase 1 acquisition. A further 67 medium- and low-priority inputs are also not yet collected and form a secondary acquisition list. The partner validation sheet should distinguish these two tiers so that partners may focus first on the 23.</w:t>
      </w:r>
    </w:p>
    <w:p>
      <w:pPr>
        <w:pBdr>
          <w:bottom w:val="single" w:color="000000" w:sz="6" w:space="1"/>
        </w:pBdr>
        <w:spacing w:after="80" w:before="200"/>
      </w:pPr>
      <w:r>
        <w:rPr>
          <w:rFonts w:ascii="Times New Roman" w:cs="Times New Roman" w:eastAsia="Times New Roman" w:hAnsi="Times New Roman"/>
          <w:b/>
          <w:bCs/>
          <w:sz w:val="24"/>
          <w:szCs w:val="24"/>
        </w:rPr>
        <w:t xml:space="preserve">VI. Critical Gaps</w:t>
      </w:r>
    </w:p>
    <w:p>
      <w:pPr>
        <w:spacing w:after="80" w:before="80"/>
        <w:jc w:val="both"/>
      </w:pPr>
      <w:r>
        <w:rPr>
          <w:rFonts w:ascii="Times New Roman" w:cs="Times New Roman" w:eastAsia="Times New Roman" w:hAnsi="Times New Roman"/>
          <w:sz w:val="22"/>
          <w:szCs w:val="22"/>
        </w:rPr>
        <w:t xml:space="preserve">Gap 1 — Real high-priority acquisition burden is 23 variables. Filtering on data_role = input corrects the previous headline of 85. The 23 targets are concentrated in supply (14), disruption (4), economic (2), and one each in social, digital, and governance.</w:t>
      </w:r>
    </w:p>
    <w:p>
      <w:pPr>
        <w:spacing w:after="80" w:before="80"/>
        <w:jc w:val="both"/>
      </w:pPr>
      <w:r>
        <w:rPr>
          <w:rFonts w:ascii="Times New Roman" w:cs="Times New Roman" w:eastAsia="Times New Roman" w:hAnsi="Times New Roman"/>
          <w:sz w:val="22"/>
          <w:szCs w:val="22"/>
        </w:rPr>
        <w:t xml:space="preserve">Gap 2 — 27 high-priority outputs and 6 parameters require a different planning approach. Outputs are bottlenecked by software readiness and input availability, not data collection. Parameters require dedicated calibration cycles per pilot city. These should not appear on the partner acquisition list.</w:t>
      </w:r>
    </w:p>
    <w:p>
      <w:pPr>
        <w:spacing w:after="80" w:before="80"/>
        <w:jc w:val="both"/>
      </w:pPr>
      <w:r>
        <w:rPr>
          <w:rFonts w:ascii="Times New Roman" w:cs="Times New Roman" w:eastAsia="Times New Roman" w:hAnsi="Times New Roman"/>
          <w:sz w:val="22"/>
          <w:szCs w:val="22"/>
        </w:rPr>
        <w:t xml:space="preserve">Gap 3 — Layer 3 SUMA tool KPIs remain undefined. All 25 Layer 3 KPIs are outputs by definition and do not enter the acquisition target list. They nonetheless require formal specification in D3.3 and D3.5 before any pilot reporting cycle commences. Three carry critical inconsistencies, notably the ARP target conflict (90% vs 95%), which must be resolved before the D3.3 final submission.</w:t>
      </w:r>
    </w:p>
    <w:p>
      <w:pPr>
        <w:spacing w:after="80" w:before="80"/>
        <w:jc w:val="both"/>
      </w:pPr>
      <w:r>
        <w:rPr>
          <w:rFonts w:ascii="Times New Roman" w:cs="Times New Roman" w:eastAsia="Times New Roman" w:hAnsi="Times New Roman"/>
          <w:sz w:val="22"/>
          <w:szCs w:val="22"/>
        </w:rPr>
        <w:t xml:space="preserve">Gap 4 — Network Diversity property depends on D4.2 OD-matrix construction. The 14 variables mapped to this property are mostly inputs and computed variables. Until OD construction is operational in at least one pilot city, the Network Diversity dimension of antifragility remains theoretical.</w:t>
      </w:r>
    </w:p>
    <w:p>
      <w:pPr>
        <w:pBdr>
          <w:bottom w:val="single" w:color="000000" w:sz="6" w:space="1"/>
        </w:pBdr>
        <w:spacing w:after="80" w:before="200"/>
      </w:pPr>
      <w:r>
        <w:rPr>
          <w:rFonts w:ascii="Times New Roman" w:cs="Times New Roman" w:eastAsia="Times New Roman" w:hAnsi="Times New Roman"/>
          <w:b/>
          <w:bCs/>
          <w:sz w:val="24"/>
          <w:szCs w:val="24"/>
        </w:rPr>
        <w:t xml:space="preserve">VII. Phase 1 Action List</w:t>
      </w:r>
    </w:p>
    <w:p>
      <w:pPr>
        <w:spacing w:after="80" w:before="80"/>
        <w:jc w:val="both"/>
      </w:pPr>
      <w:r>
        <w:rPr>
          <w:rFonts w:ascii="Times New Roman" w:cs="Times New Roman" w:eastAsia="Times New Roman" w:hAnsi="Times New Roman"/>
          <w:sz w:val="22"/>
          <w:szCs w:val="22"/>
        </w:rPr>
        <w:t xml:space="preserve">First, distribute the inventory CSV to partners filtered to the 160 input variables only, with the four-category availability assessment request. Second, focus partner attention on the 23 high-priority inputs flagged as not yet collected. Third, upon return of partner responses, update the availability and availability_notes columns and recompute the gap analysis. Fourth, for variables assessed as D (low probability), introduce a follow-up column phase1_decision with values acquire, proxy, defer, or drop to formalise the per-variable decision. Fifth, forward the 25 Layer 3 KPI placeholders to the WP3 lead for formal specification, independently of the partner validation track.</w:t>
      </w:r>
    </w:p>
    <w:p>
      <w:pPr>
        <w:spacing w:after="0" w:before="300"/>
        <w:jc w:val="center"/>
      </w:pPr>
      <w:r>
        <w:rPr>
          <w:rFonts w:ascii="Times New Roman" w:cs="Times New Roman" w:eastAsia="Times New Roman" w:hAnsi="Times New Roman"/>
          <w:i/>
          <w:iCs/>
          <w:color w:val="666666"/>
          <w:sz w:val="18"/>
          <w:szCs w:val="18"/>
        </w:rPr>
        <w:t xml:space="preserve">Consolidated inventory: 266 variables · 26 columns · Sources: D2.1 · D2.3 · D2.5 · D2.6 · D2.7 · D3.2 · D3.3 · D4.2 · KPI Gap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2026-05-01T12:35:31.432Z</dcterms:created>
  <dcterms:modified xsi:type="dcterms:W3CDTF">2026-05-01T12:35:31.459Z</dcterms:modified>
</cp:coreProperties>
</file>

<file path=docProps/custom.xml><?xml version="1.0" encoding="utf-8"?>
<Properties xmlns="http://schemas.openxmlformats.org/officeDocument/2006/custom-properties" xmlns:vt="http://schemas.openxmlformats.org/officeDocument/2006/docPropsVTypes"/>
</file>