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aramond" w:cs="Garamond" w:eastAsia="Garamond" w:hAnsi="Garamond"/>
          <w:b/>
          <w:bCs/>
          <w:color w:val="1A365D"/>
          <w:sz w:val="56"/>
          <w:szCs w:val="56"/>
        </w:rPr>
        <w:t xml:space="preserve">ANTIFRAGICITY</w:t>
      </w:r>
    </w:p>
    <w:p>
      <w:pPr>
        <w:spacing w:after="200" w:before="100"/>
        <w:jc w:val="center"/>
      </w:pPr>
      <w:r>
        <w:rPr>
          <w:rFonts w:ascii="Garamond" w:cs="Garamond" w:eastAsia="Garamond" w:hAnsi="Garamond"/>
          <w:i/>
          <w:iCs/>
          <w:color w:val="555555"/>
          <w:sz w:val="24"/>
          <w:szCs w:val="24"/>
        </w:rPr>
        <w:t xml:space="preserve">Horizon Europe</w:t>
      </w:r>
    </w:p>
    <w:p>
      <w:pPr>
        <w:pBdr>
          <w:top w:val="single" w:color="1A365D" w:sz="12"/>
          <w:bottom w:val="single" w:color="1A365D" w:sz="12"/>
        </w:pBdr>
        <w:spacing w:after="0" w:before="600"/>
        <w:jc w:val="center"/>
      </w:pPr>
      <w:r>
        <w:rPr>
          <w:rFonts w:ascii="Garamond" w:cs="Garamond" w:eastAsia="Garamond" w:hAnsi="Garamond"/>
          <w:color w:val="1A365D"/>
          <w:sz w:val="32"/>
          <w:szCs w:val="32"/>
        </w:rPr>
        <w:t xml:space="preserve"> Consolidated Register of </w:t>
      </w:r>
    </w:p>
    <w:p>
      <w:pPr>
        <w:pBdr>
          <w:bottom w:val="single" w:color="1A365D" w:sz="12"/>
        </w:pBdr>
        <w:spacing w:after="0" w:before="0"/>
        <w:jc w:val="center"/>
      </w:pPr>
      <w:r>
        <w:rPr>
          <w:rFonts w:ascii="Garamond" w:cs="Garamond" w:eastAsia="Garamond" w:hAnsi="Garamond"/>
          <w:b/>
          <w:bCs/>
          <w:color w:val="1A365D"/>
          <w:sz w:val="36"/>
          <w:szCs w:val="36"/>
        </w:rPr>
        <w:t xml:space="preserve"> Key Performance Indicators </w:t>
      </w:r>
    </w:p>
    <w:p>
      <w:pPr>
        <w:spacing w:after="100" w:before="800"/>
        <w:jc w:val="center"/>
      </w:pPr>
      <w:r>
        <w:rPr>
          <w:rFonts w:ascii="Garamond" w:cs="Garamond" w:eastAsia="Garamond" w:hAnsi="Garamond"/>
          <w:i/>
          <w:iCs/>
          <w:color w:val="2C3E50"/>
          <w:sz w:val="22"/>
          <w:szCs w:val="22"/>
        </w:rPr>
        <w:t xml:space="preserve">A reference document prepared for the Mini General Assembly</w:t>
      </w:r>
    </w:p>
    <w:p>
      <w:pPr>
        <w:spacing w:after="100" w:before="100"/>
        <w:jc w:val="center"/>
      </w:pPr>
      <w:r>
        <w:rPr>
          <w:rFonts w:ascii="Garamond" w:cs="Garamond" w:eastAsia="Garamond" w:hAnsi="Garamond"/>
          <w:color w:val="555555"/>
          <w:sz w:val="22"/>
          <w:szCs w:val="22"/>
        </w:rPr>
        <w:t xml:space="preserve">Cardiff University</w:t>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Preface</w:t>
      </w:r>
    </w:p>
    <w:p>
      <w:pPr>
        <w:spacing w:after="100" w:before="100" w:line="320"/>
        <w:jc w:val="both"/>
      </w:pPr>
      <w:r>
        <w:rPr>
          <w:rFonts w:ascii="Garamond" w:cs="Garamond" w:eastAsia="Garamond" w:hAnsi="Garamond"/>
          <w:sz w:val="22"/>
          <w:szCs w:val="22"/>
        </w:rPr>
        <w:t xml:space="preserve">The present document offers a consolidated register of all key performance indicators presently identified within the AntifragiCity project. It draws together the indicators set forth in the Grant Agreement, those catalogued in deliverable D2.7, the state variables of the equilibrium model elaborated in D2.3, the system-level performance commitments associated with the SUMA platform as described in D2.6, and the composite risk indicators arising from the FMEA work reported in D3.3.</w:t>
      </w:r>
    </w:p>
    <w:p>
      <w:pPr>
        <w:spacing w:after="100" w:before="100" w:line="320"/>
        <w:jc w:val="both"/>
      </w:pPr>
      <w:r>
        <w:rPr>
          <w:rFonts w:ascii="Garamond" w:cs="Garamond" w:eastAsia="Garamond" w:hAnsi="Garamond"/>
          <w:sz w:val="22"/>
          <w:szCs w:val="22"/>
        </w:rPr>
        <w:t xml:space="preserve">The intention of the document is twofold. In the first instance, it serves as a reference for the partners as they prepare for the forthcoming Mini General Assembly, providing in a single place the indicators against which the project will be assessed and evaluated. In the second instance, it constitutes the foundation upon which the subsequent mapping exercise will be conducted, namely the alignment of these indicators with the SUMA functional requirements and with the project ontology.</w:t>
      </w:r>
    </w:p>
    <w:p>
      <w:pPr>
        <w:spacing w:after="100" w:before="100" w:line="320"/>
        <w:jc w:val="both"/>
      </w:pPr>
      <w:r>
        <w:rPr>
          <w:rFonts w:ascii="Garamond" w:cs="Garamond" w:eastAsia="Garamond" w:hAnsi="Garamond"/>
          <w:sz w:val="22"/>
          <w:szCs w:val="22"/>
        </w:rPr>
        <w:t xml:space="preserve">The indicators are grouped into three layers, in accordance with their nature and provenance. Layer 1 comprises the urban indicators that are observed and reported by the pilots; Layer 2 comprises the analytical state variables of the equilibrium model; and Layer 3 comprises the indicators relating to the performance of the SUMA platform itself. Each layer is described in turn in the sections that follow.</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  An Overview of the Three Layers</w:t>
      </w:r>
    </w:p>
    <w:p>
      <w:pPr>
        <w:spacing w:after="100" w:before="100" w:line="320"/>
        <w:jc w:val="both"/>
      </w:pPr>
      <w:r>
        <w:rPr>
          <w:rFonts w:ascii="Garamond" w:cs="Garamond" w:eastAsia="Garamond" w:hAnsi="Garamond"/>
          <w:sz w:val="22"/>
          <w:szCs w:val="22"/>
        </w:rPr>
        <w:t xml:space="preserve">It has been found expedient, for the orderly treatment of so large a body of indicators, to distinguish three layers, the character of which is summarised in the table below.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60"/>
        <w:gridCol w:w="2400"/>
      </w:tblGrid>
      <w:tr>
        <w:trPr>
          <w:tblHeader/>
        </w:trPr>
        <w:tc>
          <w:tcPr>
            <w:tcW w:type="dxa" w:w="1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Layer</w:t>
            </w:r>
          </w:p>
        </w:tc>
        <w:tc>
          <w:tcPr>
            <w:tcW w:type="dxa" w:w="3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c>
          <w:tcPr>
            <w:tcW w:type="dxa" w:w="23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Examples</w:t>
            </w:r>
          </w:p>
        </w:tc>
        <w:tc>
          <w:tcPr>
            <w:tcW w:type="dxa" w:w="2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Source</w:t>
            </w:r>
          </w:p>
        </w:tc>
      </w:tr>
      <w:tr>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Layer 1</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Urban and city indicators that are observed in the field and reported to stakeholders.</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Modal split, CO₂ emissions, accident rate, travel time reliability, accessibility, fuel price.</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D2.7 Catalogue (198 standard entries) and project Excel inventory.</w:t>
            </w:r>
          </w:p>
        </w:tc>
      </w:tr>
      <w:tr>
        <w:tc>
          <w:tcPr>
            <w:tcW w:type="dxa" w:w="1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Layer 2</w:t>
            </w:r>
          </w:p>
        </w:tc>
        <w:tc>
          <w:tcPr>
            <w:tcW w:type="dxa" w:w="3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Model state and computed variables of an analytical character, derived through the equilibrium framework.</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Mobility throughput (M), redundancy (R), adaptation velocity (A), stress (S), equity penalty (Q), and others.</w:t>
            </w:r>
          </w:p>
        </w:tc>
        <w:tc>
          <w:tcPr>
            <w:tcW w:type="dxa" w:w="2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Defined in D2.3 and reproduced in the D2.7 Catalogue under the heading ‘KPIs from System Performance Equilibrium’ (entries Eq-1 to Eq-11).</w:t>
            </w:r>
          </w:p>
        </w:tc>
      </w:tr>
      <w:tr>
        <w:tc>
          <w:tcPr>
            <w:tcW w:type="dxa" w:w="1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Layer 3</w:t>
            </w:r>
          </w:p>
        </w:tc>
        <w:tc>
          <w:tcPr>
            <w:tcW w:type="dxa" w:w="3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SUMA tool performance KPIs concerning the platform itself and its supporting analytics.</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Detection accuracy, response time to disruptions (RTD), risk prediction accuracy (ARP), triage effectiveness, restoration time to equilibrium (RTE), antifragile attributes, ingestion latency.</w:t>
            </w:r>
          </w:p>
        </w:tc>
        <w:tc>
          <w:tcPr>
            <w:tcW w:type="dxa" w:w="2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Drawn from the project proposal, D2.6 SUMA requirements, and D3.3 FMEA outputs. Twenty-five indicators in total.</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The reader will observe that the layers are distinguished not by their importance, all three being indispensable, but rather by their character. Layer 1 indicators are observable in the urban environment; Layer 2 indicators are computed from observations through the equilibrium model; and Layer 3 indicators concern the proper functioning of the SUMA tool itself. The three layers, taken together, constitute the entirety of the project’s indicator framework.</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II.  The Sources of the Indicators</w:t>
      </w:r>
    </w:p>
    <w:p>
      <w:pPr>
        <w:spacing w:after="100" w:before="100" w:line="320"/>
        <w:jc w:val="both"/>
      </w:pPr>
      <w:r>
        <w:rPr>
          <w:rFonts w:ascii="Garamond" w:cs="Garamond" w:eastAsia="Garamond" w:hAnsi="Garamond"/>
          <w:sz w:val="22"/>
          <w:szCs w:val="22"/>
        </w:rPr>
        <w:t xml:space="preserve">The indicators here registered have been gathered from five distinct sources, the contributions of which are set forth in the following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60"/>
        <w:gridCol w:w="1300"/>
        <w:gridCol w:w="4000"/>
      </w:tblGrid>
      <w:tr>
        <w:trPr>
          <w:tblHeader/>
        </w:trPr>
        <w:tc>
          <w:tcPr>
            <w:tcW w:type="dxa" w:w="1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Source</w:t>
            </w:r>
          </w:p>
        </w:tc>
        <w:tc>
          <w:tcPr>
            <w:tcW w:type="dxa" w:w="23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Description</w:t>
            </w:r>
          </w:p>
        </w:tc>
        <w:tc>
          <w:tcPr>
            <w:tcW w:type="dxa" w:w="13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Count</w:t>
            </w:r>
          </w:p>
        </w:tc>
        <w:tc>
          <w:tcPr>
            <w:tcW w:type="dxa" w:w="40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Role in the framework</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Project Proposal</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Original commitments under the Grant Agreement, including the expected outcomes (EO1–EO2) and project objectives.</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13</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Provides the binding targets against which project performance will ultimately be assessed at review.</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D2.7 KPI Catalogue</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Curated set of urban indicators, organised by domain, intended for pilot reporting.</w:t>
            </w:r>
          </w:p>
        </w:tc>
        <w:tc>
          <w:tcPr>
            <w:tcW w:type="dxa" w:w="1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198</w:t>
            </w:r>
          </w:p>
        </w:tc>
        <w:tc>
          <w:tcPr>
            <w:tcW w:type="dxa" w:w="4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Establishes the common vocabulary of city-level indicators used by all pilots and across the consortium.</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D2.3 Equilibrium Model</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Mathematical state variables of the urban mobility equilibrium framework.</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11</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Reflected as catalogue entries Eq-1 to Eq-11; together they form the analytical core of the project’s antifragility model.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D2.6 SUMA Requirements</w:t>
            </w:r>
          </w:p>
        </w:tc>
        <w:tc>
          <w:tcPr>
            <w:tcW w:type="dxa" w:w="2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System-level performance commitments for the SUMA platform, derived from the Delphi exercise and stakeholder workshops.</w:t>
            </w:r>
          </w:p>
        </w:tc>
        <w:tc>
          <w:tcPr>
            <w:tcW w:type="dxa" w:w="13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11</w:t>
            </w:r>
          </w:p>
        </w:tc>
        <w:tc>
          <w:tcPr>
            <w:tcW w:type="dxa" w:w="4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Specifies operational thresholds for ingestion, evaluation, refresh, prediction, and benchmarking within SUMA.</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D3.3 FMEA Outputs</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Composite risk indicators arising from the Failure Mode and Effect Analysis applied to the disruption taxonomy.</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3</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Quantifies the relative criticality of disruption events and provides the basis for prioritisation in the triage layer.</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TOTAL</w:t>
            </w:r>
          </w:p>
        </w:tc>
        <w:tc>
          <w:tcPr>
            <w:tcW w:type="dxa" w:w="2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000000"/>
                <w:sz w:val="19"/>
                <w:szCs w:val="19"/>
              </w:rPr>
              <w:t xml:space="preserve">Distinct indicators across all sources, with the proposal targets mapped onto the catalogue and the model.</w:t>
            </w:r>
          </w:p>
        </w:tc>
        <w:tc>
          <w:tcPr>
            <w:tcW w:type="dxa" w:w="13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236</w:t>
            </w:r>
          </w:p>
        </w:tc>
        <w:tc>
          <w:tcPr>
            <w:tcW w:type="dxa" w:w="4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000000"/>
                <w:sz w:val="19"/>
                <w:szCs w:val="19"/>
              </w:rPr>
              <w:t xml:space="preserve">Of which 209 reside in the catalogue (198 standard plus 11 equilibrium) and a further 27 are SUMA-side and proposal-only commitments not catalogued.</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will be remarked that the same indicator may sometimes appear in more than one source: a target articulated in the Grant Agreement is, in many cases, also represented as an entry in the catalogue, or as a state variable of the equilibrium model. The figures given above represent distinct indicators, with such overlaps suitably accounted for. The total of two hundred and thirty-six indicators thus comprises two hundred and nine catalogue entries together with twenty-seven further commitments which, by their nature, do not lend themselves to inclusion in the urban indicator catalogue.</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III.  The Layer One Indicators — A Summary by Domain</w:t>
      </w:r>
    </w:p>
    <w:p>
      <w:pPr>
        <w:spacing w:after="100" w:before="100" w:line="320"/>
        <w:jc w:val="both"/>
      </w:pPr>
      <w:r>
        <w:rPr>
          <w:rFonts w:ascii="Garamond" w:cs="Garamond" w:eastAsia="Garamond" w:hAnsi="Garamond"/>
          <w:sz w:val="22"/>
          <w:szCs w:val="22"/>
        </w:rPr>
        <w:t xml:space="preserve">The Layer 1 indicators, two hundred and nine in number when the eleven equilibrium entries are included, are organised within the catalogue under seven principal domains. The summary is given below; the complete listing of indicators, with their definitions, is reproduced in Appendix A for the convenience of the partners.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Domain</w:t>
            </w:r>
          </w:p>
        </w:tc>
        <w:tc>
          <w:tcPr>
            <w:tcW w:type="dxa" w:w="12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Count</w:t>
            </w:r>
          </w:p>
        </w:tc>
        <w:tc>
          <w:tcPr>
            <w:tcW w:type="dxa" w:w="47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Subdomains</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Network and system performance</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13</w:t>
            </w:r>
          </w:p>
        </w:tc>
        <w:tc>
          <w:tcPr>
            <w:tcW w:type="dxa" w:w="4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Capacity and centrality of the transport network.</w:t>
            </w:r>
          </w:p>
        </w:tc>
      </w:tr>
      <w:tr>
        <w:tc>
          <w:tcPr>
            <w:tcW w:type="dxa" w:w="3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Ecological impacts</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18</w:t>
            </w:r>
          </w:p>
        </w:tc>
        <w:tc>
          <w:tcPr>
            <w:tcW w:type="dxa" w:w="4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Emissions, ecological degradation, noise pollution.</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Transport modes, travel times and characteristics</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47</w:t>
            </w:r>
          </w:p>
        </w:tc>
        <w:tc>
          <w:tcPr>
            <w:tcW w:type="dxa" w:w="4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Modal split, travel demand, travel times and delays, transport characteristics.</w:t>
            </w:r>
          </w:p>
        </w:tc>
      </w:tr>
      <w:tr>
        <w:tc>
          <w:tcPr>
            <w:tcW w:type="dxa" w:w="3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Transport safety</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26</w:t>
            </w:r>
          </w:p>
        </w:tc>
        <w:tc>
          <w:tcPr>
            <w:tcW w:type="dxa" w:w="4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Traffic accidents, safety control, security.</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Accessibility, costs and satisfaction</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48</w:t>
            </w:r>
          </w:p>
        </w:tc>
        <w:tc>
          <w:tcPr>
            <w:tcW w:type="dxa" w:w="4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Accessibility, transport costs and affordability, public perception and satisfaction.</w:t>
            </w:r>
          </w:p>
        </w:tc>
      </w:tr>
      <w:tr>
        <w:tc>
          <w:tcPr>
            <w:tcW w:type="dxa" w:w="34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Land use and infrastructure</w:t>
            </w:r>
          </w:p>
        </w:tc>
        <w:tc>
          <w:tcPr>
            <w:tcW w:type="dxa" w:w="12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28</w:t>
            </w:r>
          </w:p>
        </w:tc>
        <w:tc>
          <w:tcPr>
            <w:tcW w:type="dxa" w:w="47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Transport infrastructure, land use and space consumption.</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Urban development and growth</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29</w:t>
            </w:r>
          </w:p>
        </w:tc>
        <w:tc>
          <w:tcPr>
            <w:tcW w:type="dxa" w:w="4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Urban and spatial planning, energy consumption, economic growth, plus the eleven equilibrium indicators.</w:t>
            </w:r>
          </w:p>
        </w:tc>
      </w:tr>
      <w:tr>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1A365D"/>
                <w:sz w:val="19"/>
                <w:szCs w:val="19"/>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209</w:t>
            </w:r>
          </w:p>
        </w:tc>
        <w:tc>
          <w:tcPr>
            <w:tcW w:type="dxa" w:w="47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Of which 11 reside in the equilibrium subsection (Eq-1 to Eq-11) listed under Urban Development and Growth.</w:t>
            </w:r>
          </w:p>
        </w:tc>
      </w:tr>
    </w:tbl>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IV.  The Layer Two Indicators — The Equilibrium State Variables</w:t>
      </w:r>
    </w:p>
    <w:p>
      <w:pPr>
        <w:spacing w:after="100" w:before="100" w:line="320"/>
        <w:jc w:val="both"/>
      </w:pPr>
      <w:r>
        <w:rPr>
          <w:rFonts w:ascii="Garamond" w:cs="Garamond" w:eastAsia="Garamond" w:hAnsi="Garamond"/>
          <w:sz w:val="22"/>
          <w:szCs w:val="22"/>
        </w:rPr>
        <w:t xml:space="preserve">The eleven indicators of Layer 2 are the state variables of the equilibrium model elaborated in D2.3. They are reproduced below for ease of reference. Each is computed from a combination of Layer 1 observations, and each contributes to the antifragility assessment carried out within the model. They are listed in the catalogue under the heading ‘KPIs from System Performance Equilibrium’, occupying the entries Eq-1 to Eq-11.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900"/>
        <w:gridCol w:w="4460"/>
      </w:tblGrid>
      <w:tr>
        <w:trPr>
          <w:tblHeader/>
        </w:trPr>
        <w:tc>
          <w:tcPr>
            <w:tcW w:type="dxa" w:w="9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Entry</w:t>
            </w:r>
          </w:p>
        </w:tc>
        <w:tc>
          <w:tcPr>
            <w:tcW w:type="dxa" w:w="11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Symbol</w:t>
            </w:r>
          </w:p>
        </w:tc>
        <w:tc>
          <w:tcPr>
            <w:tcW w:type="dxa" w:w="29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44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Description</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Eq-1</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M</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Mobility throughput</w:t>
            </w:r>
          </w:p>
        </w:tc>
        <w:tc>
          <w:tcPr>
            <w:tcW w:type="dxa" w:w="44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Effective service delivery across the urban network.</w:t>
            </w:r>
          </w:p>
        </w:tc>
      </w:tr>
      <w:tr>
        <w:tc>
          <w:tcPr>
            <w:tcW w:type="dxa" w:w="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Eq-2</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R</w:t>
            </w:r>
          </w:p>
        </w:tc>
        <w:tc>
          <w:tcPr>
            <w:tcW w:type="dxa" w:w="2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Redundancy</w:t>
            </w:r>
          </w:p>
        </w:tc>
        <w:tc>
          <w:tcPr>
            <w:tcW w:type="dxa" w:w="44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Provision of alternative pathways within the system.</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Eq-3</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A</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Adaptation velocity</w:t>
            </w:r>
          </w:p>
        </w:tc>
        <w:tc>
          <w:tcPr>
            <w:tcW w:type="dxa" w:w="44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Responsiveness of the system to changing conditions.</w:t>
            </w:r>
          </w:p>
        </w:tc>
      </w:tr>
      <w:tr>
        <w:tc>
          <w:tcPr>
            <w:tcW w:type="dxa" w:w="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Eq-4</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C</w:t>
            </w:r>
          </w:p>
        </w:tc>
        <w:tc>
          <w:tcPr>
            <w:tcW w:type="dxa" w:w="2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Information entropy</w:t>
            </w:r>
          </w:p>
        </w:tc>
        <w:tc>
          <w:tcPr>
            <w:tcW w:type="dxa" w:w="44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Diversity of flow distribution across the network.</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Eq-5</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Dₑₘ</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Disturbance indicator</w:t>
            </w:r>
          </w:p>
        </w:tc>
        <w:tc>
          <w:tcPr>
            <w:tcW w:type="dxa" w:w="44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Synthesis of event characteristics drawn from the disruption ontology.</w:t>
            </w:r>
          </w:p>
        </w:tc>
      </w:tr>
      <w:tr>
        <w:tc>
          <w:tcPr>
            <w:tcW w:type="dxa" w:w="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Eq-6</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S</w:t>
            </w:r>
          </w:p>
        </w:tc>
        <w:tc>
          <w:tcPr>
            <w:tcW w:type="dxa" w:w="2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Stress</w:t>
            </w:r>
          </w:p>
        </w:tc>
        <w:tc>
          <w:tcPr>
            <w:tcW w:type="dxa" w:w="44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Congestion-induced degradation of system performance.</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Eq-7</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Q</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Equity (Theil-T stratification)</w:t>
            </w:r>
          </w:p>
        </w:tc>
        <w:tc>
          <w:tcPr>
            <w:tcW w:type="dxa" w:w="44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Distributional fairness in accessibility outcomes.</w:t>
            </w:r>
          </w:p>
        </w:tc>
      </w:tr>
      <w:tr>
        <w:tc>
          <w:tcPr>
            <w:tcW w:type="dxa" w:w="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Eq-8</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P</w:t>
            </w:r>
          </w:p>
        </w:tc>
        <w:tc>
          <w:tcPr>
            <w:tcW w:type="dxa" w:w="2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Pricing flexibility</w:t>
            </w:r>
          </w:p>
        </w:tc>
        <w:tc>
          <w:tcPr>
            <w:tcW w:type="dxa" w:w="44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Capacity of pricing instruments to modulate demand.</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Eq-9</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B</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Behavioural compliance</w:t>
            </w:r>
          </w:p>
        </w:tc>
        <w:tc>
          <w:tcPr>
            <w:tcW w:type="dxa" w:w="44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Extent of user adherence to demand-management measures.</w:t>
            </w:r>
          </w:p>
        </w:tc>
      </w:tr>
      <w:tr>
        <w:tc>
          <w:tcPr>
            <w:tcW w:type="dxa" w:w="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Eq-10</w:t>
            </w:r>
          </w:p>
        </w:tc>
        <w:tc>
          <w:tcPr>
            <w:tcW w:type="dxa" w:w="11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Eₑₙₑᵣᵍᵧ</w:t>
            </w:r>
          </w:p>
        </w:tc>
        <w:tc>
          <w:tcPr>
            <w:tcW w:type="dxa" w:w="29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Energy coupling</w:t>
            </w:r>
          </w:p>
        </w:tc>
        <w:tc>
          <w:tcPr>
            <w:tcW w:type="dxa" w:w="44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Dependency of the transport system on energy supply.</w:t>
            </w:r>
          </w:p>
        </w:tc>
      </w:tr>
      <w:t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9"/>
                <w:szCs w:val="19"/>
              </w:rPr>
              <w:t xml:space="preserve">Eq-11</w:t>
            </w:r>
          </w:p>
        </w:tc>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1A365D"/>
                <w:sz w:val="19"/>
                <w:szCs w:val="19"/>
              </w:rPr>
              <w:t xml:space="preserve">Eᴵᶜᵀ</w:t>
            </w:r>
          </w:p>
        </w:tc>
        <w:tc>
          <w:tcPr>
            <w:tcW w:type="dxa" w:w="2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ICT dependency</w:t>
            </w:r>
          </w:p>
        </w:tc>
        <w:tc>
          <w:tcPr>
            <w:tcW w:type="dxa" w:w="44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9"/>
                <w:szCs w:val="19"/>
              </w:rPr>
              <w:t xml:space="preserve">Reliance on information and communication infrastructure.</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is from the interaction of these eleven variables that the equilibrium of the system is computed, and from the trajectory of their values that the restoration time to equilibrium and the antifragility factor are derived. Their precise computation, the data inputs they require, and their interrelations with the Layer 1 indicators will form the subject of the subsequent mapping exercise.</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  The Layer Three Indicators — SUMA Performance and Project Commitments</w:t>
      </w:r>
    </w:p>
    <w:p>
      <w:pPr>
        <w:spacing w:after="100" w:before="100" w:line="320"/>
        <w:jc w:val="both"/>
      </w:pPr>
      <w:r>
        <w:rPr>
          <w:rFonts w:ascii="Garamond" w:cs="Garamond" w:eastAsia="Garamond" w:hAnsi="Garamond"/>
          <w:sz w:val="22"/>
          <w:szCs w:val="22"/>
        </w:rPr>
        <w:t xml:space="preserve">The Layer 3 indicators are twenty-five in number. They concern the operational performance of the SUMA platform itself, the accuracy of its analytical components, the effectiveness of the interventions it supports, and the engagement of the citizens and decision-makers it serves. They are not all of the same character: some, drawn from the Grant Agreement, articulate the project’s formal commitments; others, drawn from D2.6, specify operational thresholds for the SUMA system; and a small number, drawn from D3.3, characterise the outputs of the failure-mode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00"/>
        <w:gridCol w:w="1960"/>
      </w:tblGrid>
      <w:tr>
        <w:trPr>
          <w:tblHeader/>
        </w:trPr>
        <w:tc>
          <w:tcPr>
            <w:tcW w:type="dxa" w:w="1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Reference</w:t>
            </w:r>
          </w:p>
        </w:tc>
        <w:tc>
          <w:tcPr>
            <w:tcW w:type="dxa" w:w="30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Target or scale</w:t>
            </w:r>
          </w:p>
        </w:tc>
        <w:tc>
          <w:tcPr>
            <w:tcW w:type="dxa" w:w="19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Source</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EO1-KPI-1</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Disruption detection accuracy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Greater than 90 per cent</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EO1-KPI-2</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Public sentiment detection accuracy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Greater than 70 per cent F1</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EO1-KPI-5</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Stressors detection and characterisation accuracy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Greater than 95 per cent</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EO1-KPI-6</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Risk prediction accuracy (ARP)</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Greater than 95 per cent</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KPI-3.4 / EO1-KPI-7</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Response time to disruptions (RTD)</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Below one minute for detection; below five minutes for analysis</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EO2-KPI-1</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Mobility triage effectiveness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Greater than 95 per cent of interventions successful</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EO2-KPI-3</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Antifragile attributes embedded in interventions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At least five of seven attributes</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KPI-4.3 / 4.4</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Living lab participation and gender balance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One thousand participants; fifty per cent female</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KPI-5.1</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Climate resilience level increase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Plus fifty per cent over baseline</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KPI-5.2</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Citizen satisfaction in demonstration sessions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Greater than 70 per cent</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KPI-3.5 (RTE)</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Restoration time to equilibrium</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Improvement of ten to fifty per cent over reference</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KPI-5.3</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Social acceptability of CAW recommendations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Not quantified in proposal</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KPI-5.4</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Effectiveness of DSS in informing policy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Not quantified in proposal</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Project Proposal</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L3-D2.6-01</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SUMA data ingestion latency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At most sixty seconds</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L3-D2.6-02</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SUMA scenario evaluation time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At most five minutes</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L3-D2.6-03</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SUMA response deployment time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At most two minutes</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L3-D2.6-04</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Live traffic data update interval</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At most five minutes</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L3-D2.6-05</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Graph database topology update latency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Target to be confirmed</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L3-D2.6-06</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Source trust score (dynamic)</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Continuous score on the unit interval</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L3-D2.6-07</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Proactive rerouting prediction accuracy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Improvement trajectory over successive events</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L3-D2.6-08</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Nudging modal shift effectiveness</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Target to be defined per intervention</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L3-D2.6-09</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Antifragility score improvement trajectory</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Time-series; no fixed numerical target</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L3-D2.6-10</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Long-term performance trajectory</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Multi-year trajectory</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L3-D2.6-11</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Cross-city benchmarking score</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Composite score across pilots</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D2.6 SUMA Requirements</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L3-D3.3-01</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FMEA composite risk score</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Range observed: 7,776 to 32,400 across critical parameters</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D3.3 FMEA</w:t>
            </w:r>
          </w:p>
        </w:tc>
      </w:tr>
      <w:tr>
        <w:tc>
          <w:tcPr>
            <w:tcW w:type="dxa" w:w="1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L3-D3.3-02</w:t>
            </w:r>
          </w:p>
        </w:tc>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Disruption early-warning triggers</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Categorical taxonomy of precursor signals</w:t>
            </w:r>
          </w:p>
        </w:tc>
        <w:tc>
          <w:tcPr>
            <w:tcW w:type="dxa" w:w="19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D3.3 FMEA</w:t>
            </w:r>
          </w:p>
        </w:tc>
      </w:tr>
      <w:tr>
        <w:tc>
          <w:tcPr>
            <w:tcW w:type="dxa" w:w="1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8"/>
                <w:szCs w:val="18"/>
              </w:rPr>
              <w:t xml:space="preserve">L3-D3.3-03</w:t>
            </w:r>
          </w:p>
        </w:tc>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RPN risk-level classification</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8"/>
                <w:szCs w:val="18"/>
              </w:rPr>
              <w:t xml:space="preserve">Four-level ordinal scale (Low, Medium, High, Very High)</w:t>
            </w:r>
          </w:p>
        </w:tc>
        <w:tc>
          <w:tcPr>
            <w:tcW w:type="dxa" w:w="19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8"/>
                <w:szCs w:val="18"/>
              </w:rPr>
              <w:t xml:space="preserve">D3.3 FMEA</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It will be observed that some of these indicators await the definition of their precise targets and measurement methods. This is the proper subject of the operationalisation work to be undertaken in deliverables D3.4 and D3.5, and is one of the matters upon which the views of the partners will be sought at the Mini General Assembly.</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VI.  Matters for Discussion at the Mini General Assembly</w:t>
      </w:r>
    </w:p>
    <w:p>
      <w:pPr>
        <w:spacing w:after="100" w:before="100" w:line="320"/>
        <w:jc w:val="both"/>
      </w:pPr>
      <w:r>
        <w:rPr>
          <w:rFonts w:ascii="Garamond" w:cs="Garamond" w:eastAsia="Garamond" w:hAnsi="Garamond"/>
          <w:sz w:val="22"/>
          <w:szCs w:val="22"/>
        </w:rPr>
        <w:t xml:space="preserve">In presenting the consolidated register to the partners, it appears desirable to draw attention to a number of points upon which collective deliberation will be necessary if the framework is to be put to good account in the months ahead. These are summarised in the table that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Topic for discussion</w:t>
            </w:r>
          </w:p>
        </w:tc>
        <w:tc>
          <w:tcPr>
            <w:tcW w:type="dxa" w:w="63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Key questions for the partners</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Pilot prioritisation</w:t>
            </w:r>
          </w:p>
        </w:tc>
        <w:tc>
          <w:tcPr>
            <w:tcW w:type="dxa" w:w="6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Which Layer 1 indicators will each pilot city report routinely, and which will require ad hoc collection? Are common reporting cadences agreed across the four pilots?</w:t>
            </w:r>
          </w:p>
        </w:tc>
      </w:tr>
      <w:tr>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Data availability</w:t>
            </w:r>
          </w:p>
        </w:tc>
        <w:tc>
          <w:tcPr>
            <w:tcW w:type="dxa" w:w="6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For indicators that are not yet collected, which partner is responsible for acquisition or proxy provision? Are existing municipal data agreements sufficient?</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Targets and thresholds</w:t>
            </w:r>
          </w:p>
        </w:tc>
        <w:tc>
          <w:tcPr>
            <w:tcW w:type="dxa" w:w="6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Are the proposal targets still appropriate in light of pilot conditions? In particular, should the ARP target be confirmed at 95 per cent or harmonised with the 90 per cent objective stated elsewhere?</w:t>
            </w:r>
          </w:p>
        </w:tc>
      </w:tr>
      <w:tr>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Layer 2 inputs</w:t>
            </w:r>
          </w:p>
        </w:tc>
        <w:tc>
          <w:tcPr>
            <w:tcW w:type="dxa" w:w="6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Which Layer 1 indicators will feed each of the eleven equilibrium variables? Have all pilots the data necessary to compute the state vector at the agreed temporal scale?</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SUMA operational targets</w:t>
            </w:r>
          </w:p>
        </w:tc>
        <w:tc>
          <w:tcPr>
            <w:tcW w:type="dxa" w:w="6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Are the latency, refresh and prediction targets in Layer 3 realistic given the technical infrastructure available at each pilot? Are there pilot-specific exceptions?</w:t>
            </w:r>
          </w:p>
        </w:tc>
      </w:tr>
      <w:tr>
        <w:tc>
          <w:tcPr>
            <w:tcW w:type="dxa" w:w="30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Engagement and acceptance</w:t>
            </w:r>
          </w:p>
        </w:tc>
        <w:tc>
          <w:tcPr>
            <w:tcW w:type="dxa" w:w="63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How will citizen engagement KPIs (participation, satisfaction, social acceptability) be coordinated across pilots? Is a common questionnaire required?</w:t>
            </w:r>
          </w:p>
        </w:tc>
      </w:tr>
      <w:tr>
        <w:tc>
          <w:tcPr>
            <w:tcW w:type="dxa" w:w="30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9"/>
                <w:szCs w:val="19"/>
              </w:rPr>
              <w:t xml:space="preserve">Cross-city benchmarking</w:t>
            </w:r>
          </w:p>
        </w:tc>
        <w:tc>
          <w:tcPr>
            <w:tcW w:type="dxa" w:w="63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val="false"/>
                <w:iCs w:val="false"/>
                <w:color w:val="000000"/>
                <w:sz w:val="19"/>
                <w:szCs w:val="19"/>
              </w:rPr>
              <w:t xml:space="preserve">Which subset of indicators should constitute the common benchmarking core, and how often will the cross-city score be computed?</w:t>
            </w:r>
          </w:p>
        </w:tc>
      </w:tr>
    </w:tbl>
    <w:p>
      <w:pPr>
        <w:spacing w:after="80" w:before="80"/>
      </w:pPr>
      <w:r>
        <w:t xml:space="preserve"/>
      </w:r>
    </w:p>
    <w:p>
      <w:pPr>
        <w:spacing w:after="100" w:before="100" w:line="320"/>
        <w:jc w:val="both"/>
      </w:pPr>
      <w:r>
        <w:rPr>
          <w:rFonts w:ascii="Garamond" w:cs="Garamond" w:eastAsia="Garamond" w:hAnsi="Garamond"/>
          <w:sz w:val="22"/>
          <w:szCs w:val="22"/>
        </w:rPr>
        <w:t xml:space="preserve">The partners are invited to consider these questions in advance of the assembly, with reference to the conditions prevailing in their respective pilot cities, and to come prepared with such observations as they may wish to contribute. The intention is to leave the assembly with a clear understanding of the indicator commitments and of the practical arrangements by which they will be honoured.</w:t>
      </w:r>
    </w:p>
    <w:p>
      <w:pPr>
        <w:spacing w:after="80" w:before="80"/>
      </w:pPr>
      <w:r>
        <w:t xml:space="preserve"/>
      </w:r>
    </w:p>
    <w:p>
      <w:pPr>
        <w:pStyle w:val="Heading1"/>
        <w:pBdr>
          <w:bottom w:val="single" w:color="1A365D" w:sz="12"/>
        </w:pBdr>
        <w:spacing w:after="220" w:before="480"/>
      </w:pPr>
      <w:r>
        <w:rPr>
          <w:rFonts w:ascii="Garamond" w:cs="Garamond" w:eastAsia="Garamond" w:hAnsi="Garamond"/>
          <w:b/>
          <w:bCs/>
          <w:color w:val="1A365D"/>
          <w:sz w:val="30"/>
          <w:szCs w:val="30"/>
        </w:rPr>
        <w:t xml:space="preserve">VII.  Subsequent Steps</w:t>
      </w:r>
    </w:p>
    <w:p>
      <w:pPr>
        <w:spacing w:after="100" w:before="100" w:line="320"/>
        <w:jc w:val="both"/>
      </w:pPr>
      <w:r>
        <w:rPr>
          <w:rFonts w:ascii="Garamond" w:cs="Garamond" w:eastAsia="Garamond" w:hAnsi="Garamond"/>
          <w:sz w:val="22"/>
          <w:szCs w:val="22"/>
        </w:rPr>
        <w:t xml:space="preserve">Following the deliberations of the Mini General Assembly, two further exercises are envisaged. The first is the mapping of these indicators to the functional requirements of the SUMA platform, so that each requirement may be associated with the indicators it serves to satisfy. The second is the alignment of the indicators with the project ontology, so that the semantic relations among them are made explicit and the data flows from observation to indicator computation are formally represented. Once these mappings are completed, the path will be clear for the operationalisation of the framework within the SUMA implementation, and for the longitudinal evaluation of project performance.</w:t>
      </w:r>
    </w:p>
    <w:p>
      <w:pPr>
        <w:spacing w:after="100" w:before="100" w:line="320"/>
        <w:jc w:val="both"/>
      </w:pPr>
      <w:r>
        <w:rPr>
          <w:rFonts w:ascii="Garamond" w:cs="Garamond" w:eastAsia="Garamond" w:hAnsi="Garamond"/>
          <w:sz w:val="22"/>
          <w:szCs w:val="22"/>
        </w:rPr>
        <w:t xml:space="preserve">It is hoped that the present register will provide the partners with the comprehensive view of the indicators required to engage productively in these forthcoming exercises.</w:t>
      </w:r>
    </w:p>
    <w:p>
      <w:pPr>
        <w:spacing w:after="80" w:before="80"/>
      </w:pPr>
      <w:r>
        <w:t xml:space="preserve"/>
      </w:r>
    </w:p>
    <w:p>
      <w:r>
        <w:br w:type="page"/>
      </w:r>
    </w:p>
    <w:p>
      <w:pPr>
        <w:pStyle w:val="Heading1"/>
        <w:pBdr>
          <w:bottom w:val="single" w:color="1A365D" w:sz="12"/>
        </w:pBdr>
        <w:spacing w:after="220" w:before="480"/>
      </w:pPr>
      <w:r>
        <w:rPr>
          <w:rFonts w:ascii="Garamond" w:cs="Garamond" w:eastAsia="Garamond" w:hAnsi="Garamond"/>
          <w:b/>
          <w:bCs/>
          <w:color w:val="1A365D"/>
          <w:sz w:val="30"/>
          <w:szCs w:val="30"/>
        </w:rPr>
        <w:t xml:space="preserve">Appendix A — The Complete D2.7 Catalogue</w:t>
      </w:r>
    </w:p>
    <w:p>
      <w:pPr>
        <w:spacing w:after="100" w:before="100" w:line="320"/>
        <w:jc w:val="both"/>
      </w:pPr>
      <w:r>
        <w:rPr>
          <w:rFonts w:ascii="Garamond" w:cs="Garamond" w:eastAsia="Garamond" w:hAnsi="Garamond"/>
          <w:sz w:val="22"/>
          <w:szCs w:val="22"/>
        </w:rPr>
        <w:t xml:space="preserve">The complete catalogue, comprising two hundred and nine indicators, is reproduced below for the convenience of the partners. The indicators are presented domain by domain, with their identifying number, the indicator name, and a concise definition. The eleven equilibrium indicators (Eq-1 to Eq-11) are listed at the end, under the Urban Development and Growth domain, in keeping with the catalogue’s own arrangement.</w:t>
      </w:r>
    </w:p>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Network/System performance</w:t>
      </w:r>
    </w:p>
    <w:p>
      <w:pPr>
        <w:pStyle w:val="Heading3"/>
        <w:spacing w:after="100" w:before="220"/>
      </w:pPr>
      <w:r>
        <w:rPr>
          <w:rFonts w:ascii="Garamond" w:cs="Garamond" w:eastAsia="Garamond" w:hAnsi="Garamond"/>
          <w:i/>
          <w:iCs/>
          <w:color w:val="2C3E50"/>
          <w:sz w:val="22"/>
          <w:szCs w:val="22"/>
        </w:rPr>
        <w:t xml:space="preserve">Centrality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Betweenness Centrality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Describes to what extent a particular node lies between other nodes in the network. A node with high betweenness centrality is on the shortest paths connecting many nodes, indicating its criticality.</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Closeness Centrality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inverse of the average shortest path distance from the node to any other node in the network.</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Degree Centrality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first centrality measure, defined as the number of links incident upon a node.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Eigenvector Centrality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eigenvector centrality of a node is proportional to the sum of the centralities of the nodes it connects to.</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Commuter Flow Centrality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number of commuters through a node per hour.</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Reserve Capacity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Used to account for both route choice behavior of travelers and congestion effects on networks.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Transportation Network Resiliency Index</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Uses a fuzzy inference system to assess transportation resilience at a system level (Sun et al., 2020)</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Resilience metric</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expected value of the post-event demand divided by the pre-event demand for the network (Zhou et al., 2019)</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Friability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Calculated using an undirected graph to represent roadway networks (related to resilience) (Faturechi &amp; Miller-Hooks, 2014)</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Travel Time Resilience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ratio of travel time under normal conditions to the travel time in a disrupted scenario (Sun et al., 2020)</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System recovery rates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One of the measures used to evaluate the recoverability of freight transport systems. These rates quantify the recovery speed and efficiency of system functionality, often expressed as the percentage of network functiona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Demand recovery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This indicator assesses how quickly and completely the demand for transportation services returns to its operational levels following a disruption.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Rapidity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speed of returning to the normal state, used to measure the resilience of transportation networks.</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Ecological impacts</w:t>
      </w:r>
    </w:p>
    <w:p>
      <w:pPr>
        <w:pStyle w:val="Heading3"/>
        <w:spacing w:after="100" w:before="220"/>
      </w:pPr>
      <w:r>
        <w:rPr>
          <w:rFonts w:ascii="Garamond" w:cs="Garamond" w:eastAsia="Garamond" w:hAnsi="Garamond"/>
          <w:i/>
          <w:iCs/>
          <w:color w:val="2C3E50"/>
          <w:sz w:val="22"/>
          <w:szCs w:val="22"/>
        </w:rPr>
        <w:t xml:space="preserve">Emmissions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GHG Emissions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primary environmental impact being studied, referring to greenhouse gas emissions from the freight sector, mainly CO2. (Also listed as 'GHG Emissions' for Scope 1, 2, 3 and 'Annual greenhouse gasesa by transportation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CO2</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Undesirable output variable, consumption calculated using CO2 emission factor. (Also listed as 'Carbon dioxide emissions', 'CO2 emissions from transportation', 'Carbon emissions per capita', 'Greenhouse gas emissions fro</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Pollutant emissions from transport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Analyses transport emissions of nitrogen oxides, non-methane volatile organic compounds, and particulate matter. (Also listed as 'Nitrogen oxide emissions', 'Total motor vehicle pollutant emissions', 'Air polluting emiss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CO2 emissions per kilometer from new passenger cars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Measures the average emissions of carbon dioxide per kilometer for new passenger cars.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Energy consumption and polluting emissions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Amount of energy used and pollutants released.</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density of pollutants generated by transport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Concentration of pollutants from transport.</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exposure to transport-generated pollutants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Average contact with pollutants originating from transport.</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exposure to overall pollutants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Average contact with all types of pollutants.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duration of the exposure to the pollutants .</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Average length of time exposed to pollutants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polluting emissions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Overall amount of pollutants released</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NOx emissions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Emissions of nitrogen dioxide pollution</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Noise pollution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Noise pollution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Sound levels, often related to traffic. (Also listed as 'Noise emissions', 'Noise hindrance', 'Traffic noise pollution index', 'Average of traffic arterial noise', 'Control on Noise pollution')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Population exposed to noise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percentage of the population or number of people affected by noise levels that exceed a certain limit value (Also listed as 'Number of people exposed to traffic noise', 'People exposed to noise &gt;55 dB').</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Ecological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Ozone Layer Depletion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thinning of the stratospheric ozone layer, which leads to increased penetration of harmful UV-B radiation to the Earth's surface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Ecological footprint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amount of biologically productive land and water required to generate the resources consumed and to assimilate the waste produced, using contemporary technologies. This metric is calculated in hectares per capita and</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Water pollution index</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metric used to quantify the level of contamination within water bodies. For example, the Wastewater Quality Index serves as an indicator for assessing sanitary effluents from industries, aiding in reliable and sustaina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Waste from transport sector</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amount of solid waste produced by the transportation sector.</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Preservation of habitats / biodiversity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Measures such as ensuring an ecosystem's capacity to support ecological processes and diverse communities of organisms, often quantified by an 'Intactness' or ‘biodiversity’ score or index.</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Transport Modes, Travel Times and Characteristics</w:t>
      </w:r>
    </w:p>
    <w:p>
      <w:pPr>
        <w:pStyle w:val="Heading3"/>
        <w:spacing w:after="100" w:before="220"/>
      </w:pPr>
      <w:r>
        <w:rPr>
          <w:rFonts w:ascii="Garamond" w:cs="Garamond" w:eastAsia="Garamond" w:hAnsi="Garamond"/>
          <w:i/>
          <w:iCs/>
          <w:color w:val="2C3E50"/>
          <w:sz w:val="22"/>
          <w:szCs w:val="22"/>
        </w:rPr>
        <w:t xml:space="preserve">Modal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Modal split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Personal travel mode split. Also, the proportion of different transport modes used for travel.</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Personal travel mode split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Share of non-motorized, automobile, public transport.</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Freight mode split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percentage share of each inland mode of transport in total transport, expressed in ton-kilometers across different transportation modes such as truck, rail, ship, air.</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Travel times and delays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Vehicle travel times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Often defined as the total time a vehicle spends on a journey, including driving, idling, and waiting, from origin to destination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Passenger waiting times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duration passengers spend awaiting a vehicle, with stakeholders recommending metrics like an average of 20 minutes during peak hours to assess service frequency</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Waiting time savings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reduction in the amount of time passengers spend awaiting a vehicle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In-vehicle time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Time spent by passengers inside the vehicle.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commute travel time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actual commuting travel time for commuters across all available transport modes. This measure should encompass the total door-to-door travel time, including delays, parking time for cars, and for public trans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Travel time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duration a vehicle spends on a journey, encompassing driving, idling, and waiting from origin to destination.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daily trip duration per person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time a person spends travelling per day.</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trip duration per kilometre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time taken to travel one kilometre.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trip duration per vehicle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time a vehicle spends on a trip.</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travel time using public transport system to the desired point of interest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time it takes to reach a destination using public transport.</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travel time using road network to the desired point of interest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time it takes to reach a destination using the road network.</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Time required to switch between transport modes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duration needed to transfer from one mode of transport to another.</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Delays in the transport system</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amount of time lost due to transportation delays.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delays indicator</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Measures delays within the transport network.</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Lost time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Time not productively used due to transport issues.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Congestion and delays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Calculates the impact of congestion and delays in the urban mobility system, which can be measured by time lost in congestion or the extent of congestion in time or space.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Congestions in the transport system</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duration of traffic congestion within the transport system.</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Time-to-Collision</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Defined and calculated only when the speed of a trailing vehicle (ego vehicle) exceeds that of the leading vehicle, representing the time remaining until a collision if their current speeds and trajectories are maintaine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Time Delay Centrality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Describes the extent of delay to people affected through a linear combination of the additional time required by every trip.</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DelayFlow Centrality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It is a time-based centrality measure that accounts for the contribution of commuter flow to time delay within a network (Sun et al., 2020).</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Passenger Delay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performance indicator used to quantify the resilience of mass railway transportation systems. Defined as the average difference between the actual travel time and the scheduled travel time for passengers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Yearly Commuter Delay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Average amount of additional time or delays experienced by individual commuters.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Delay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difference between the actual and scheduled travel time, or more generally, the additional time experienced by commuters due to various factors like congestion.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Travel Time Reliability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Quantifies the additional time needed to complete a trip compared to normal conditions.</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Travel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Transport demand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overall need or desire for the movement of people and goods within a transportation system. It is often measured by the volume of passenger and freight travel, influenced by factors such as population, economic activ</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Non-motorized transport demand</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overall need or desire for travel accomplished through active, non-motorized modes such as walking, cycling, skateboarding, and manual wheelchair use.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Motorized transport demand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overall need for movement of people and goods that relies on engine-powered vehicles, differentiating it from non-motorized transport. This indicator typically quantifies passenger travel (e.g., in passenger-kilomete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Demand for Freight Services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Overall need for goods transportation.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Inter-City Passenger Demand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Relates to the demand side of the intercity passenger transport system.</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PRT Travel demand</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number of trips made using private vehicles per day, reflecting individuals' reliance on personal modes of transport for their mobility needs. It is commonly measured by the daily number of trips per person or </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PT demand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overall volume of passenger travel utilizing public transportation modes like buses, trains, and metros. It is commonly measured by indicators such as passenger-kilometers or ridership numbers, reflecting the communi</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Transport charasteristics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Expected Fraction of Demand Satisfied in Post-Disaster Network</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demand that can be met by the transportation network after a disaster, considering specific recovery costs. This indicator typically involves comparing the maximum demand satisfied for an origin-destina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public transport speed</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commercial speed of public transport, typically measured in kilometers per hour, based on the scheduled operation.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Average distance covered by daily PT trips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average distance traveled per day by individuals using public transport modes.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Quantity of PT trips / Number of daily PT trips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number of journeys or boardings made by individuals using public transportation modes.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number of passenger and ton kilometres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cumulative distance travelled by passengers and goods.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Daily average distance travelled by motorised and non-motorised trips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typical distance covered each day by individuals across all modes of transport. This includes distances traveled by vehicles with engines (motorised) as well as active forms like walking and cycling (non-motorised).</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vehicle-km traveled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distance covered by vehicles. It is defined as the movement of one vehicle the distance of one kilometer, representing the actual distance run, and includes movements of empty road motor vehicles.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Transit passenger km traveled</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distance covered by passengers using public transport, calculated by multiplying the number of passengers by the distance each travels.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Freight ton-km</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unit of measure for goods transport, representing the movement of one tonne of goods over a distance of one kilometer.</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75</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Vehicle Occupancy / Passenger Load</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ratio of the number of passengers to the sitting capacity of the vehicle, often estimated as the Load Factor.</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More than One Person per Vehicle Index</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 indicator used to measure car occupancy, reflecting the number of people traveling together in a single vehicle (Vidović et al., 2019). This metric helps assess vehicle utilization and can be differentiated by factors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Ridership</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number of passengers utilizing a public transportation service. It is a crucial indicator for assessing the volume of passenger usage and the overall performance and impact of public transport systems.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Trip/Travel Rate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frequency of travel, representing the number of trips an individual or household makes over a defined period. It can also be expressed as the average number of daily trips per person or per transportation mode.</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Transport safety</w:t>
      </w:r>
    </w:p>
    <w:p>
      <w:pPr>
        <w:pStyle w:val="Heading3"/>
        <w:spacing w:after="100" w:before="220"/>
      </w:pPr>
      <w:r>
        <w:rPr>
          <w:rFonts w:ascii="Garamond" w:cs="Garamond" w:eastAsia="Garamond" w:hAnsi="Garamond"/>
          <w:i/>
          <w:iCs/>
          <w:color w:val="2C3E50"/>
          <w:sz w:val="22"/>
          <w:szCs w:val="22"/>
        </w:rPr>
        <w:t xml:space="preserve">Traffic accidents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Traffic accidents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Annual number of traffic crashes and fatalities per 100,000 residents. (Also listed as 'Annual number of traffic crashes and fatalities per 100,000 residents')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Traffic conflicts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Number of collisions between motor vehicles and non-motorized travellers.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Injury Severity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KABCO Scale Outcomes, a classification system for injury severity.</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Accident rate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Typically measured in various ways, such as fatalities per capita, per vehicle-mile traveled, or per registered vehicles, and is influenced by factors like traffic volume and car ownership</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Fatalities per billion passenger journeys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number of deaths relative to the total distance traveled by passengers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People dead in road accidents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Number of fatalities resulting from road accidents.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Annual traffic fatalities per capita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It measures the mortality rate of a population due to road accidents, expressing the number of road deaths relative to the total number of inhabitants. This metric quantifies the average citizen's overall risk of being k</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Crash Count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Number of crashes or accidents occurring within a given period and area.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Traffic related injuries and fatalities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number of casualties resulting from traffic accidents.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Casualties of traffic accidents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Individuals injured or killed in traffic incidents.</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Intentional security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Number of violent incidents; Number of thefts from vehicles.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Unintentional security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Accident rate for 10,000 vehicles; Traffic accident casualties per capita.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Security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perceived protection against various threats, including offenses against property, passengers, and operatives, and intentional attacks like physical or cyberattacks. Based on a population survey for public perception</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Safety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Engineering safety control</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Incorporating safety features into design.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Laws and regulations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Enacting and enforcing specific laws and regulations to govern safety.</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Education (for road safety)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Its aim is to enhance awareness of road safety signs, regulations, hazards, and risks, and to extend this training to the broader community. Based on a population survey.</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95</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Residents' perception of traffic safety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perception on the statement: I feel safe traveling with other drivers on the road. Based on a population survey.</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Residents' perception of safety within their neighborhood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perception on the statement: I feel safe in my neighborhood during the day/night. Based on a population survey.</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Residents' perception of safety in downtown</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perception on the statement: I feel safe walking alone downtown during the day/night. Based on a population survey.</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Safety and Efficiency Index</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dimensionless indicator ranging from 0 (unsafe and inefficient) to 1 (safe and efficient) that integrates efficiency with a safety component based on Time-to-Collision (Andreotti &amp; Selpi, 2025).</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Road cargo turnover</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control variable quantifying the total amount of cargo transported over a certain distance within a given period.</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 capita car ownership</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number of vehicles owned per person within a population, serving as an indicator of private vehicle prevalence.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Alcohol/Drug Use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critical indicator in crash severity studies, reflecting a key risk factor in road safety.</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Vehicle Characteristics/Type/Year</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Characteristics of vehicles involved in crashes.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Collision Type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Manner in which a collision occurred.</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Type of Violation/Accident Reason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Cause or contributing factor to an accident.</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Accessibility, costs, and satisfaction</w:t>
      </w:r>
    </w:p>
    <w:p>
      <w:pPr>
        <w:pStyle w:val="Heading3"/>
        <w:spacing w:after="100" w:before="220"/>
      </w:pPr>
      <w:r>
        <w:rPr>
          <w:rFonts w:ascii="Garamond" w:cs="Garamond" w:eastAsia="Garamond" w:hAnsi="Garamond"/>
          <w:i/>
          <w:iCs/>
          <w:color w:val="2C3E50"/>
          <w:sz w:val="22"/>
          <w:szCs w:val="22"/>
        </w:rPr>
        <w:t xml:space="preserve">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Transport accessibility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Share of population living within 300–500 m from public transport stations. (Also listed as 'Accessibility to public transport station', 'Public space accessibility', 'Accessibility by walking', 'Accessibility by cycling</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Land use accessibility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Number of public spaces within 10-min walk.</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Accessibility by car-driving</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This indicator can be measured by assessing the percentage of the population with access to a car or the travel time required to reach specific locations by car.</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Accessibility for emergence rescue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It measures the timeliness of disaster relief efforts and the ability to access necessary emergency infrastructure within a given spatial distribution.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Destination Accessibility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Total number of direct destinations accessible.</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Public perception and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Feeling of safety during traveling</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individuals who feel protected from crime, threatening behavior, and general safety concerns, typically measured through surveys and public perception studies.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Perception of comfort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This indicator evaluates the physical and mental comfort experienced by individuals within a system or environment, and it is typically measured through reported satisfaction in surveys.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Perceived beauty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subjective aesthetic appreciation individuals have for urban spaces and environments, assessed by conducting surveys.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of the public spaces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Perception to gauge contentment with public areas assessed by conducting surveys.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Mobility satisfaction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 indicator used to assess individuals' contentment with their mobility experiences, often measured through surveys using a five-point Likert scale.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115</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Infrastructure accessibility satisfaction</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How content individuals are with the ease and quality of reaching destinations and services via available infrastructure. This indicator is typically evaluated through surveys, taking into account factors like physical 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General satisfaction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 indicator that assesses an individual's overall contentment or happiness with a given system, service, or experience. It is typically evaluated through surveys and public perception studies to gauge the general public</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Quality of public area</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How the public perceives and evaluates various aspects of public spaces, such as aesthetics, cleanliness, and functionality, to gauge overall satisfaction and livability based on a population survey for public perception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Population unsatisfied with the transport-related emission and noise levels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residents who express discontent regarding the environmental impacts of transportation, specifically concerning noise and emissions.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Population that considers the transport – related consumption of land to be appropriate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residents who deem the land used for transportation infrastructure as suitable.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Population that considers the sustainable energy sources available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people who believe sustainable energy sources are accessible.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Overall quality of life in the city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perceived well-being, encompassing their satisfaction with physical, material, social, and emotional aspects of urban living (Kutela et al., 2025). It is a complex, multidimensional indicator reflecting happiness, he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lighting</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lighting conditions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sidewalks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the condition of sidewalks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street conditions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overall street conditions.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125</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traffic flow on major highways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traffic flow in highways.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traffic flow on major city streets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traffic flow on major city streets.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on-street bicycle accessibility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bicycle lanes.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Satisfaction with timing of traffic signals on city streets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Residents' satisfaction with traffic signal timing.</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Transport costs and affordability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129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Passenger waiting costs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cost-related indicator that quantifies the financial or economic disutility incurred by passengers due to time spent waiting for public transport.</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Vehicle running and depreciation costs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Total costs associated with vehicle operation and wear.</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Personnel costs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Expenses related to staff. These costs are generally considered part of the operating or running costs of a transport system, encompassing wages and social insurance contributions .</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Running costs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Operational expenses, encompass the direct costs associated with operating a transport system. These typically include expenditures such as wages, social insurance contributions, fuel, materials, supplies, and various ta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Recovery Effort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resource expenditures and costs attributed to recovery activities within resilience assessment, particularly for infrastructure systems. This indicator is utilized to quantify the expenses incurred during the restora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 Present Value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 quantitative indicator that assesses the financial or economic performance of an investment alternative. It calculates the discounted net monetary value of an investment, reflecting the difference between discounted to</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Travel costs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financial expenditures incurred for a journey, encompassing direct expenses like fuel, fares, and tolls. These costs can also include indirect expenses such as vehicle depreciation, insurance, and maintenance, </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Parking fees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Charges imposed for the use of parking spaces, serving as an economic instrument within urban mobility systems.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Parking costs of the employees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expenses individuals incur for parking their vehicles, typically associated with their commute to work or during work-related activities.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Household expenditure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Spending by households. This includes costs such as the purchase and operation of transport equipment, as well as payments for transport services. It can also be viewed as a share of income spent on transport, which can </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139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Fuel price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Cost of fuel. (Also listed as 'Fuel costs', 'Gasoline price', 'Annual total cost spend for gasoline price including taxes per total annual VKT', 'Annual total cost spend for gasoline price including taxes per capita')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Daily parking ticket costs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Expenses for daily parking tickets.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Residents’ parking ticket expenditure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Spending by residents on parking tickets.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Fixed costs of a car allocated to urban mobility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Fixed expenses related to car ownership and urban travel.</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Expenditure for public transportation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financial outlays made for public transit systems, encompassing operational costs and infrastructure investments. These expenditures often include subsidies necessary to cover service costs not entirely met by fare r</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Cost operation</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expenses incurred in the day-to-day functioning of a system, contributing to its overall operational costs. These costs are essential for maintaining financial efficiency and can encompass various expenditures relate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Cost of property damage and treatment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financial expenditures incurred due to damage to vehicles and infrastructure, as well as the medical costs associated with injuries resulting from incidents such as traffic accidents or disasters.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Private transportation cost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financial outlays associated with a private transportation subsystem, such as expenses for fuel consumption and vehicle maintenance.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Environmental Cost Indicators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Converts environmental impacts into a single weighting factor expressed in monetary value.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Price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Typically refers to the Manufacturer's Suggested Retail Price or the annual lease price of a vehicle, representing the monetary value associated with acquiring or using a product or service.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149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Cost of Ownership</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Includes various expenses (depreciation, taxes, fuel, insurance, etc.).</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Annual infrastructural investments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Financial outlay for infrastructure projects.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Annual transportation expenditures per capita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Also listed as 'Annual transportation expenditures per GDP per capita', 'Annual public transportation expenditures per capita', 'Annual public transportation expenditures per total unlinked passenger trips by public tran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Annual public transportation revenues per public transportation expenditures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financial self-sufficiency of public transportation systems by comparing the total revenue generated from operations against the total expenditures incurred for providing those services.</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Land use and Infrastructure</w:t>
      </w:r>
    </w:p>
    <w:p>
      <w:pPr>
        <w:pStyle w:val="Heading3"/>
        <w:spacing w:after="100" w:before="220"/>
      </w:pPr>
      <w:r>
        <w:rPr>
          <w:rFonts w:ascii="Garamond" w:cs="Garamond" w:eastAsia="Garamond" w:hAnsi="Garamond"/>
          <w:i/>
          <w:iCs/>
          <w:color w:val="2C3E50"/>
          <w:sz w:val="22"/>
          <w:szCs w:val="22"/>
        </w:rPr>
        <w:t xml:space="preserve">Transport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Infrastructure spatial features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physical characteristics of the transportation network, such as the total length of operational roads. This indicator can be measured in kilometers to quantify the extent of the road infrastructure.</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Length of total operational roads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physical extent of all roads within a given area that are currently in use. This indicator is typically measured in kilometers and quantifies the overall size and reach of the road infrastructure.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Ratio of  roadways of specific standards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 indicator that quantifies the proportion of a road network that meets certain defined criteria, such as safety ratings or specific design standards. This ratio can be expressed as a percentage of the total road networ</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density / Total roads length per area</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extent of a network, typically expressed in kilometers per square kilometer (Km/km2).</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Public transport stops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Further measured by passenger shelter, cleanness, seats, lighting, CCTV, timetable, real-time display, Wi-Fi, etc.</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Public transport route network</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Further measured by multimodal compatibility, the system of ticket sale and distribution, distance to a bus stop, etc.</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159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Public transport efficiency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occupancy rate of buses, reflecting how effectively public transport vehicles are utilized. It quantifies the proportion of available capacity being used by passengers.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Public transport availability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extent to which public transportation is accessible to a population, often measured by the proportion of people living within a certain range of public transport stops.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highways length per area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physical length of highways within a defined geographical region, typically expressed in kilometers per square kilometer (Km/km²).</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Urban roads length per area</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physical length of roads within a defined urban expanse, typically expressed in kilometers per square kilometer (Km/km²).</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highways length per capita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extent of highway infrastructure available per individual within a given area.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Total urban roads length per capita</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physical length of urban roads within a defined urban area, relative to its population.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Share of exclusive bus transit route over bus routes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Percentage of exclusive and controlled right-of-way motor bus transit route per total motor bus transit route length</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Share of exclusive bus transit route over total road network</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Percentage of total motor bus transit route length per total roads length</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Bus route length per area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extent to which an area is covered by public transportation infrastructure, often expressed as kilometers of bus routes per square kilometer.</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Land use and space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Land use diversity / mix</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An entropy-based measure on the variety of different land uses.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169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Proportion of land devoted to transport facilities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land utilized by all urban transport modes, covering direct infrastructure like roads and rails, and indirect uses such as parking spaces. This indicator quantifies the physical space consumed by the tr</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Ratio of agriculture land used for transport facilities to total land take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land initially designated for agricultural purposes that has been converted or occupied by transportation infrastructure, relative to the overall land area consumed by all transport facilities.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171</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Ratio of green spaces used for transport facilities to total land take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proportion of green land area that has been converted or occupied for transportation infrastructure, relative to the total land area consumed by all transport facilities.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Space consumption in terms of the transport infrastructure / Transportation infrastructure land</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land area utilized by all urban transport modes, encompassing direct infrastructure like roads and rails, and indirect uses such as parking spaces.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173</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Urban compactness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concentrated spatial arrangement and mixed-use development of an urban area.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174</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Population density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concentration of people per unit area.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175</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 capita road area</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amount of land dedicated to road infrastructure per individual resident, reflecting the coverage of the urban road network.</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Travelling- and parking-related public space consumption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Amount of public space utilized for travel and parking.</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Consumption of public space for mobility needs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Public space utilized for movement and travel.</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Consumption of public space for parking needs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Public space utilized for vehicle parking.</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179</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Transport-related land consumption per inhabitant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land area utilized by all urban transport modes, such as roads, rails, and parking, normalized by the number of residents.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Portion of land paved for transport facilities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percentage of a city's total land area that is covered by constructed transportation infrastructure. This includes paved surfaces like roads, streets, and parking areas, quantifying the physical footprint of the tran</w:t>
            </w:r>
          </w:p>
        </w:tc>
      </w:tr>
    </w:tbl>
    <w:p>
      <w:pPr>
        <w:spacing w:after="80" w:before="80"/>
      </w:pPr>
      <w:r>
        <w:t xml:space="preserve"/>
      </w:r>
    </w:p>
    <w:p>
      <w:pPr>
        <w:pStyle w:val="Heading2"/>
        <w:spacing w:after="140" w:before="320"/>
      </w:pPr>
      <w:r>
        <w:rPr>
          <w:rFonts w:ascii="Garamond" w:cs="Garamond" w:eastAsia="Garamond" w:hAnsi="Garamond"/>
          <w:b/>
          <w:bCs/>
          <w:color w:val="1A365D"/>
          <w:sz w:val="24"/>
          <w:szCs w:val="24"/>
        </w:rPr>
        <w:t xml:space="preserve">Urban development and growth</w:t>
      </w:r>
    </w:p>
    <w:p>
      <w:pPr>
        <w:pStyle w:val="Heading3"/>
        <w:spacing w:after="100" w:before="220"/>
      </w:pPr>
      <w:r>
        <w:rPr>
          <w:rFonts w:ascii="Garamond" w:cs="Garamond" w:eastAsia="Garamond" w:hAnsi="Garamond"/>
          <w:i/>
          <w:iCs/>
          <w:color w:val="2C3E50"/>
          <w:sz w:val="22"/>
          <w:szCs w:val="22"/>
        </w:rPr>
        <w:t xml:space="preserve">Energy consumption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Energy Utilization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It is typically quantified in units such as gigawatt-hours, electrification network percentage, watt-hours per seat per kilometer, and megajoules.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Renewable Energy Utilization</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Represents the consumption of renewable energy as a percentage of the total final energy consumption. (Also listed as 'Utilisation of the sustainable energy sources', 'Share of energy from renewable sources in transport'</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Energy efficiency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How effectively energy inputs are utilized to achieve transport outputs, commonly measured as total energy consumed per passenger-kilometer or ton-kilometer across various modes.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Fossil fuel consumption in transportation</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amount of energy derived from fossil fuels (such as oil, gasoline, and natural gas) used to power various transport modes.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Energy consumption in transportation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energy utilized by various transport modes, encompassing both fossil fuels and renewable sources. This indicator is typically quantified in units like megajoules or kilowatt-hours, and can be measured per capit</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Fuel consumption per each car</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amount of fuel a single vehicle uses over a given distance, typically measured in units like liters per 100 kilometers or miles per gallon.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Per capita transport energy consumption</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energy utilized by various transport modes per individual resident, reflecting the energy intensity of mobility within a population.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Energy consumption per ton – kilometre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Energy used to transport one ton over one kilometre.</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Urban and spatial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189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Urban density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concentration of population in urban areas, which is a key indicator for assessing land resource utilization and urban planning aspects.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Density of public services within all area services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concentration and availability of public services throughout a given geographical area. This indicator assesses how well essential services are distributed and accessible to the population within urban environments.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Greening coverage of built-up areas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Proportion of green space within built-up area.</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Green space area</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Total land cover of green space within the urban areas. (Also listed as 'Total area of green spaces and parks /Green areas as a share of the total urban area').</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Green space area per capita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total amount of green space within a city divided by its population.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Spatial openness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number of entrances of visibility along the street. This indicator, measured in entrances per meter, quantifies the extent of open sightlines within a given urban space.</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Land use compactness</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percentages of built-up areas within urban growth boundaries. This indicator assesses how efficiently urban land is utilized, reflecting the concentration of development within a defined urban footprint.</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Economic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196</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GDP per capita</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Gross Domestic Product per person.</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197</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Urban growth generated by transport sector</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Share of GDP contributed by the transportation sector; Employment in transportation. (Also listed as 'Share of GDP contributed by transport sector/Share of GVA generated by transport sector')</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198</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 public finance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The net result of government’s revenues from transport-related taxes and charges minus costs, per unit of GDP.</w:t>
            </w:r>
          </w:p>
        </w:tc>
      </w:tr>
    </w:tbl>
    <w:p>
      <w:pPr>
        <w:spacing w:after="80" w:before="80"/>
      </w:pPr>
      <w:r>
        <w:t xml:space="preserve"/>
      </w:r>
    </w:p>
    <w:p>
      <w:pPr>
        <w:pStyle w:val="Heading3"/>
        <w:spacing w:after="100" w:before="220"/>
      </w:pPr>
      <w:r>
        <w:rPr>
          <w:rFonts w:ascii="Garamond" w:cs="Garamond" w:eastAsia="Garamond" w:hAnsi="Garamond"/>
          <w:i/>
          <w:iCs/>
          <w:color w:val="2C3E50"/>
          <w:sz w:val="22"/>
          <w:szCs w:val="22"/>
        </w:rPr>
        <w:t xml:space="preserve">KPIs from System Performance Equilibrium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860"/>
      </w:tblGrid>
      <w:tr>
        <w:trPr>
          <w:tblHeader/>
        </w:trPr>
        <w:tc>
          <w:tcPr>
            <w:tcW w:type="dxa" w:w="8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No.</w:t>
            </w:r>
          </w:p>
        </w:tc>
        <w:tc>
          <w:tcPr>
            <w:tcW w:type="dxa" w:w="270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Indicator</w:t>
            </w:r>
          </w:p>
        </w:tc>
        <w:tc>
          <w:tcPr>
            <w:tcW w:type="dxa" w:w="5860"/>
            <w:tcBorders>
              <w:top w:val="single" w:color="1A365D" w:sz="8"/>
              <w:left w:val="none" w:color="FFFFFF" w:sz="0"/>
              <w:bottom w:val="single" w:color="1A365D" w:sz="8"/>
              <w:right w:val="none" w:color="FFFFFF" w:sz="0"/>
            </w:tcBorders>
            <w:shd w:fill="EAEAEA" w:val="clear"/>
            <w:tcMar>
              <w:top w:type="dxa" w:w="100"/>
              <w:left w:type="dxa" w:w="120"/>
              <w:bottom w:type="dxa" w:w="100"/>
              <w:right w:type="dxa" w:w="120"/>
            </w:tcMar>
          </w:tcPr>
          <w:p>
            <w:pPr>
              <w:jc w:val="left"/>
            </w:pPr>
            <w:r>
              <w:rPr>
                <w:rFonts w:ascii="Garamond" w:cs="Garamond" w:eastAsia="Garamond" w:hAnsi="Garamond"/>
                <w:b/>
                <w:bCs/>
                <w:color w:val="1A365D"/>
                <w:sz w:val="20"/>
                <w:szCs w:val="20"/>
              </w:rPr>
              <w:t xml:space="preserve">Definition</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Mobility throughput</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Mobility throughput: average multi-modal trips per capita per hour</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2</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redundancy</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Redundancy ratio: dormant links / active links (pre and post- event scenarios)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3</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Community adaptation velocity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Adaptation velocity: ∂(modalshare diversity)/∂t based on household surveys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4</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Network entropy of mobility flows</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Shannon entropy of OD flows from OD matrix, normalised by maximum</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Event disturbance index</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Domain/recency/sourceweighted disturbance index</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6</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Stress index</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Aggregates congestion and capacity strain; Reduced performance (speed) of the network links in a given area of interest considering their initial capacity</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7</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Equity penalty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Stratified Theil-T of accessibility minutes across income or neighbourhood groups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8</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Demand management</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Composite index in [0,1] from time-varying fares via min–max by mode/time, aggregated with ridership weights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9</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EV-grid resilience</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Composite of uptime and spare capacity for EV charging during events</w:t>
            </w:r>
          </w:p>
        </w:tc>
      </w:tr>
      <w:tr>
        <w:tc>
          <w:tcPr>
            <w:tcW w:type="dxa" w:w="8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10</w:t>
            </w:r>
          </w:p>
        </w:tc>
        <w:tc>
          <w:tcPr>
            <w:tcW w:type="dxa" w:w="270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ICT uptime</w:t>
            </w:r>
          </w:p>
        </w:tc>
        <w:tc>
          <w:tcPr>
            <w:tcW w:type="dxa" w:w="5860"/>
            <w:tcBorders>
              <w:top w:val="single" w:color="999999" w:sz="4"/>
              <w:left w:val="single" w:color="999999" w:sz="4"/>
              <w:bottom w:val="single" w:color="999999" w:sz="4"/>
              <w:right w:val="single" w:color="999999" w:sz="4"/>
            </w:tcBorders>
            <w:shd w:fill="F5F5F5" w:val="clear"/>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Percentage uptime of telecommunication- control systems critical to transport and mobility operations</w:t>
            </w:r>
          </w:p>
        </w:tc>
      </w:tr>
      <w:tr>
        <w:tc>
          <w:tcPr>
            <w:tcW w:type="dxa" w:w="8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center"/>
            </w:pPr>
            <w:r>
              <w:rPr>
                <w:rFonts w:ascii="Garamond" w:cs="Garamond" w:eastAsia="Garamond" w:hAnsi="Garamond"/>
                <w:b/>
                <w:bCs/>
                <w:i w:val="false"/>
                <w:iCs w:val="false"/>
                <w:color w:val="000000"/>
                <w:sz w:val="17"/>
                <w:szCs w:val="17"/>
              </w:rPr>
              <w:t xml:space="preserve">11</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bCs/>
                <w:i w:val="false"/>
                <w:iCs w:val="false"/>
                <w:color w:val="000000"/>
                <w:sz w:val="17"/>
                <w:szCs w:val="17"/>
              </w:rPr>
              <w:t xml:space="preserve">Cross-layer synergy</w:t>
            </w:r>
          </w:p>
        </w:tc>
        <w:tc>
          <w:tcPr>
            <w:tcW w:type="dxa" w:w="5860"/>
            <w:tcBorders>
              <w:top w:val="single" w:color="999999" w:sz="4"/>
              <w:left w:val="single" w:color="999999" w:sz="4"/>
              <w:bottom w:val="single" w:color="999999" w:sz="4"/>
              <w:right w:val="single" w:color="999999" w:sz="4"/>
            </w:tcBorders>
            <w:tcMar>
              <w:top w:type="dxa" w:w="80"/>
              <w:left w:type="dxa" w:w="110"/>
              <w:bottom w:type="dxa" w:w="80"/>
              <w:right w:type="dxa" w:w="110"/>
            </w:tcMar>
          </w:tcPr>
          <w:p>
            <w:pPr>
              <w:jc w:val="left"/>
            </w:pPr>
            <w:r>
              <w:rPr>
                <w:rFonts w:ascii="Garamond" w:cs="Garamond" w:eastAsia="Garamond" w:hAnsi="Garamond"/>
                <w:b w:val="false"/>
                <w:bCs w:val="false"/>
                <w:i/>
                <w:iCs/>
                <w:color w:val="555555"/>
                <w:sz w:val="17"/>
                <w:szCs w:val="17"/>
              </w:rPr>
              <w:t xml:space="preserve">Graph-based proximity between modal layers (e.g., bike–rail hubs); sum of inverted transfer distances</w:t>
            </w:r>
          </w:p>
        </w:tc>
      </w:tr>
    </w:tbl>
    <w:p>
      <w:pPr>
        <w:spacing w:after="80" w:before="8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88888"/>
        <w:sz w:val="16"/>
        <w:szCs w:val="16"/>
      </w:rPr>
      <w:t xml:space="preserve">AntifragiCity  ·  Horizon Europe  ·  Grant Agreement No. 101203052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88888"/>
        <w:sz w:val="17"/>
        <w:szCs w:val="17"/>
      </w:rPr>
      <w:t xml:space="preserve">AntifragiCity — Consolidated Register of Key Performance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80"/>
      <w:outlineLvl w:val="0"/>
    </w:pPr>
    <w:rPr>
      <w:rFonts w:ascii="Garamond" w:cs="Garamond" w:eastAsia="Garamond" w:hAnsi="Garamond"/>
      <w:b/>
      <w:bCs/>
      <w:color w:val="1A365D"/>
      <w:sz w:val="30"/>
      <w:szCs w:val="30"/>
    </w:rPr>
  </w:style>
  <w:style w:type="paragraph" w:styleId="Heading2">
    <w:name w:val="Heading 2"/>
    <w:basedOn w:val="Normal"/>
    <w:next w:val="Normal"/>
    <w:qFormat/>
    <w:pPr>
      <w:spacing w:after="140" w:before="320"/>
      <w:outlineLvl w:val="1"/>
    </w:pPr>
    <w:rPr>
      <w:rFonts w:ascii="Garamond" w:cs="Garamond" w:eastAsia="Garamond" w:hAnsi="Garamond"/>
      <w:b/>
      <w:bCs/>
      <w:color w:val="1A365D"/>
      <w:sz w:val="24"/>
      <w:szCs w:val="24"/>
    </w:rPr>
  </w:style>
  <w:style w:type="paragraph" w:styleId="Heading3">
    <w:name w:val="Heading 3"/>
    <w:basedOn w:val="Normal"/>
    <w:next w:val="Normal"/>
    <w:qFormat/>
    <w:pPr>
      <w:spacing w:after="100" w:before="220"/>
      <w:outlineLvl w:val="2"/>
    </w:pPr>
    <w:rPr>
      <w:rFonts w:ascii="Garamond" w:cs="Garamond" w:eastAsia="Garamond" w:hAnsi="Garamond"/>
      <w:i/>
      <w:i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2026-05-05T09:18:02.916Z</dcterms:created>
  <dcterms:modified xsi:type="dcterms:W3CDTF">2026-05-05T09:18:02.932Z</dcterms:modified>
</cp:coreProperties>
</file>

<file path=docProps/custom.xml><?xml version="1.0" encoding="utf-8"?>
<Properties xmlns="http://schemas.openxmlformats.org/officeDocument/2006/custom-properties" xmlns:vt="http://schemas.openxmlformats.org/officeDocument/2006/docPropsVTypes"/>
</file>