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aramond" w:cs="Garamond" w:eastAsia="Garamond" w:hAnsi="Garamond"/>
          <w:b/>
          <w:bCs/>
          <w:color w:val="1A365D"/>
          <w:sz w:val="56"/>
          <w:szCs w:val="56"/>
        </w:rPr>
        <w:t xml:space="preserve">ANTIFRAGICITY</w:t>
      </w:r>
    </w:p>
    <w:p>
      <w:pPr>
        <w:spacing w:after="200" w:before="100"/>
        <w:jc w:val="center"/>
      </w:pPr>
      <w:r>
        <w:rPr>
          <w:rFonts w:ascii="Garamond" w:cs="Garamond" w:eastAsia="Garamond" w:hAnsi="Garamond"/>
          <w:i/>
          <w:iCs/>
          <w:color w:val="555555"/>
          <w:sz w:val="24"/>
          <w:szCs w:val="24"/>
        </w:rPr>
        <w:t xml:space="preserve">Horizon Europe</w:t>
      </w:r>
    </w:p>
    <w:p>
      <w:pPr>
        <w:pBdr>
          <w:top w:val="single" w:color="1A365D" w:sz="12"/>
          <w:bottom w:val="single" w:color="1A365D" w:sz="12"/>
        </w:pBdr>
        <w:spacing w:after="0" w:before="600"/>
        <w:jc w:val="center"/>
      </w:pPr>
      <w:r>
        <w:rPr>
          <w:rFonts w:ascii="Garamond" w:cs="Garamond" w:eastAsia="Garamond" w:hAnsi="Garamond"/>
          <w:color w:val="1A365D"/>
          <w:sz w:val="32"/>
          <w:szCs w:val="32"/>
        </w:rPr>
        <w:t xml:space="preserve"> Reference of </w:t>
      </w:r>
    </w:p>
    <w:p>
      <w:pPr>
        <w:pBdr>
          <w:bottom w:val="single" w:color="1A365D" w:sz="12"/>
        </w:pBdr>
        <w:spacing w:after="0" w:before="0"/>
        <w:jc w:val="center"/>
      </w:pPr>
      <w:r>
        <w:rPr>
          <w:rFonts w:ascii="Garamond" w:cs="Garamond" w:eastAsia="Garamond" w:hAnsi="Garamond"/>
          <w:b/>
          <w:bCs/>
          <w:color w:val="1A365D"/>
          <w:sz w:val="36"/>
          <w:szCs w:val="36"/>
        </w:rPr>
        <w:t xml:space="preserve"> Ontology Concepts </w:t>
      </w:r>
    </w:p>
    <w:p>
      <w:pPr>
        <w:spacing w:after="0" w:before="400"/>
        <w:jc w:val="center"/>
      </w:pPr>
      <w:r>
        <w:rPr>
          <w:rFonts w:ascii="Garamond" w:cs="Garamond" w:eastAsia="Garamond" w:hAnsi="Garamond"/>
          <w:color w:val="1A365D"/>
          <w:sz w:val="24"/>
          <w:szCs w:val="24"/>
        </w:rPr>
        <w:t xml:space="preserve">Classes, Relationships, and Data Properties</w:t>
      </w:r>
    </w:p>
    <w:p>
      <w:pPr>
        <w:spacing w:after="100" w:before="800"/>
        <w:jc w:val="center"/>
      </w:pPr>
      <w:r>
        <w:rPr>
          <w:rFonts w:ascii="Garamond" w:cs="Garamond" w:eastAsia="Garamond" w:hAnsi="Garamond"/>
          <w:i/>
          <w:iCs/>
          <w:color w:val="2C3E50"/>
          <w:sz w:val="22"/>
          <w:szCs w:val="22"/>
        </w:rPr>
        <w:t xml:space="preserve">A reference document prepared for the Mini General Assembly</w:t>
      </w:r>
    </w:p>
    <w:p>
      <w:pPr>
        <w:spacing w:after="100" w:before="100"/>
        <w:jc w:val="center"/>
      </w:pPr>
      <w:r>
        <w:rPr>
          <w:rFonts w:ascii="Garamond" w:cs="Garamond" w:eastAsia="Garamond" w:hAnsi="Garamond"/>
          <w:color w:val="555555"/>
          <w:sz w:val="22"/>
          <w:szCs w:val="22"/>
        </w:rPr>
        <w:t xml:space="preserve">Cardiff University</w:t>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Preface</w:t>
      </w:r>
    </w:p>
    <w:p>
      <w:pPr>
        <w:spacing w:after="100" w:before="100" w:line="320"/>
        <w:jc w:val="both"/>
      </w:pPr>
      <w:r>
        <w:rPr>
          <w:rFonts w:ascii="Garamond" w:cs="Garamond" w:eastAsia="Garamond" w:hAnsi="Garamond"/>
          <w:sz w:val="22"/>
          <w:szCs w:val="22"/>
        </w:rPr>
        <w:t xml:space="preserve">The present document offers a partner-facing reference to the ontology developed for the AntifragiCity project, of which the formal specification is given in deliverable D2.5. The full ontology contains some hundreds of classes and properties, expressed in the Web Ontology Language and accompanied by Semantic Web Rule Language axioms and SHACL shape constraints. The detail of that specification is necessary for the implementation of the system, but it is not the natural form in which to deliberate at a partner workshop.</w:t>
      </w:r>
    </w:p>
    <w:p>
      <w:pPr>
        <w:spacing w:after="100" w:before="100" w:line="320"/>
        <w:jc w:val="both"/>
      </w:pPr>
      <w:r>
        <w:rPr>
          <w:rFonts w:ascii="Garamond" w:cs="Garamond" w:eastAsia="Garamond" w:hAnsi="Garamond"/>
          <w:sz w:val="22"/>
          <w:szCs w:val="22"/>
        </w:rPr>
        <w:t xml:space="preserve">This reference therefore presents the essence of the ontology in a form suited to the deliberations of the Mini General Assembly. It sets out the twelve top-level classes that constitute the ontology’s upper structure, together with their principal subclasses; describes the principal relationships by which they are connected; lists the chief data properties through which observations and indicators are recorded; and offers, in a working table, a preliminary mapping of the SUMA requirements to the classes and properties they invoke.</w:t>
      </w:r>
    </w:p>
    <w:p>
      <w:pPr>
        <w:spacing w:after="100" w:before="100" w:line="320"/>
        <w:jc w:val="both"/>
      </w:pPr>
      <w:r>
        <w:rPr>
          <w:rFonts w:ascii="Garamond" w:cs="Garamond" w:eastAsia="Garamond" w:hAnsi="Garamond"/>
          <w:sz w:val="22"/>
          <w:szCs w:val="22"/>
        </w:rPr>
        <w:t xml:space="preserve">The document is intended to support Session 3 of the Mini General Assembly, in which each pilot table will translate its retained requirements into the ontology classes and data structures upon which they depend. The reader is invited to regard the document as an aid to that exercise, not as a substitute for the formal ontology, to which the partners may be referred wherever greater detail is required.</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  The Twelve Top-Level Classes</w:t>
      </w:r>
    </w:p>
    <w:p>
      <w:pPr>
        <w:spacing w:after="100" w:before="100" w:line="320"/>
        <w:jc w:val="both"/>
      </w:pPr>
      <w:r>
        <w:rPr>
          <w:rFonts w:ascii="Garamond" w:cs="Garamond" w:eastAsia="Garamond" w:hAnsi="Garamond"/>
          <w:sz w:val="22"/>
          <w:szCs w:val="22"/>
        </w:rPr>
        <w:t xml:space="preserve">The ontology is organised about twelve top-level classes, each of which represents a kind of thing that the system must be able to describe. The classes have been arrived at through an iterative process drawing upon literature, project deliverables, and the competency questions developed in the course of D2.5. Every other class in the ontology descends, by subclass relation, from one of these twelve.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Class</w:t>
            </w:r>
          </w:p>
        </w:tc>
        <w:tc>
          <w:tcPr>
            <w:tcW w:type="dxa" w:w="69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What it represents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TransportElement</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Physical infrastructure and technical components: nodes, edges, corridors, evacuation routes, route plans, signal plans, sensor networks, monitoring modules.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MobilityService</w:t>
            </w:r>
          </w:p>
        </w:tc>
        <w:tc>
          <w:tcPr>
            <w:tcW w:type="dxa" w:w="6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Mobility offerings and operational models: transport modes, active modes, public-transport movements, choice models, predictive models, simulation models, trips.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DisruptionEvent</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Disruptive events, hazards, and cascading effects: disruptions, demand and supply shocks, cascades, outages, cyber-attacks, crises.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SystemState</w:t>
            </w:r>
          </w:p>
        </w:tc>
        <w:tc>
          <w:tcPr>
            <w:tcW w:type="dxa" w:w="6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States of the system, including performance and antifragility: congestion states, evacuation congestion, environmental target states, predicted disruption states, overload states.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Scenario</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Hypothetical configurations of the system for analysis: baseline scenarios, disruptive scenarios, what-if scenarios, scenario libraries, scenario inputs.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EnvironmentFactor</w:t>
            </w:r>
          </w:p>
        </w:tc>
        <w:tc>
          <w:tcPr>
            <w:tcW w:type="dxa" w:w="6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External environmental and contextual influences: climate stressors, climate projections, PESTEL factors.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Actor</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Persons, groups, and organisations that interact with the system: equity groups, citizen segments, user groups, stakeholders, city sources, city targets, incentives.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GovernanceInstrument</w:t>
            </w:r>
          </w:p>
        </w:tc>
        <w:tc>
          <w:tcPr>
            <w:tcW w:type="dxa" w:w="6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Rules, policies, and institutional structures: regulations, legal constraints, legal scenarios, organisations, agencies, protocols, data-sharing agreements, platforms, situation reports, security protocols.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SpatialUnit</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Geographical and spatial divisions: boundaries, no-go areas, geographical layers, vulnerable areas.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TemporalUnit</w:t>
            </w:r>
          </w:p>
        </w:tc>
        <w:tc>
          <w:tcPr>
            <w:tcW w:type="dxa" w:w="6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Time-based divisions: time intervals, peak hours, operational windows, recovery periods.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Observation</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Measurements and KPIs derived from the system: KPI observations, monitoring observations, prediction observations.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ResponseAction</w:t>
            </w:r>
          </w:p>
        </w:tc>
        <w:tc>
          <w:tcPr>
            <w:tcW w:type="dxa" w:w="6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Interventions taken in response to disruptions: control actions, policy actions, emergency actions, behavioural nudges, learning actions.</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Each top-level class admits, in turn, a number of subclasses, by which more specific kinds of thing are represented. Thus DisruptionEvent admits the subclasses Disruption, Cascade, Outage, CyberAttack, Crisis, and others; ResponseAction admits ControlAction, PolicyAction, EmergencyAction, BehaviouralNudge, and LearningAction. The full list of subclasses is given in the formal specification.</w:t>
      </w:r>
    </w:p>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II.  The Principal Relationships</w:t>
      </w:r>
    </w:p>
    <w:p>
      <w:pPr>
        <w:spacing w:after="100" w:before="100" w:line="320"/>
        <w:jc w:val="both"/>
      </w:pPr>
      <w:r>
        <w:rPr>
          <w:rFonts w:ascii="Garamond" w:cs="Garamond" w:eastAsia="Garamond" w:hAnsi="Garamond"/>
          <w:sz w:val="22"/>
          <w:szCs w:val="22"/>
        </w:rPr>
        <w:t xml:space="preserve">The classes are connected to one another by relationships, called in the ontology object properties. These relationships are the means by which the system represents the structural and causal connections among the things it describes. The principal relationships are listed below; many possess inverses, by which the same connection may be traversed in either direction.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60"/>
        <w:gridCol w:w="1500"/>
        <w:gridCol w:w="1700"/>
      </w:tblGrid>
      <w:tr>
        <w:trPr>
          <w:tblHeader/>
        </w:trPr>
        <w:tc>
          <w:tcPr>
            <w:tcW w:type="dxa" w:w="19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Relationship</w:t>
            </w:r>
          </w:p>
        </w:tc>
        <w:tc>
          <w:tcPr>
            <w:tcW w:type="dxa" w:w="19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From (domain)</w:t>
            </w:r>
          </w:p>
        </w:tc>
        <w:tc>
          <w:tcPr>
            <w:tcW w:type="dxa" w:w="23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To (range)</w:t>
            </w:r>
          </w:p>
        </w:tc>
        <w:tc>
          <w:tcPr>
            <w:tcW w:type="dxa" w:w="15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Inverse</w:t>
            </w:r>
          </w:p>
        </w:tc>
        <w:tc>
          <w:tcPr>
            <w:tcW w:type="dxa" w:w="1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Description</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affects</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 Actor, or SystemState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affectedBy</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 disruption to the elements it impacts.</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respondsTo</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ResponseAction</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hasResponse</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 response action to the disruption it addresses.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triggersResponse</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ResponseAction</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triggeredBy</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 disruption to its triggered response actions.</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updatesState</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ResponseAction</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SystemState</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an action to the resulting state of the system.</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previousState / nextState</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SystemState</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SystemState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(mutual)</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system states across time, supporting trajectory analysis.</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propagatesTo</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Models cascading failures between disruption events.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hasCause</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DisruptionEvent or EnvironmentFactor or GovernanceInstrument</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 disruption to its immediate cause.</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locatedIn</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 Actor</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SpatialUnit</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contains</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Locates an element within a spatial unit.</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dependsOn</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Models infrastructure dependencies (e.g., a tunnel depends on its drainage).</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connectsTo</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(symmetric)</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Symmetric connection between network elements (a road meets another road).</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governedBy / governs</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 MobilityService</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GovernanceInstrument</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(mutual)</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elements to the policies that govern them.</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implementedBy / implements</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ResponseAction</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Actor</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(mutual)</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actions to the actors who implement them.</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hasObservation / observes</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TransportElement, SystemState</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Observation</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(mutual)</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elements to their observations and KPI measurements.</w:t>
            </w:r>
          </w:p>
        </w:tc>
      </w:tr>
      <w:tr>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evaluatedIn</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SystemState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Scenario</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w:t>
            </w:r>
          </w:p>
        </w:tc>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 system state to the scenario in which it is evaluated.</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validDuring</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Scenario, SystemState, ResponseAction</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TemporalUnit</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Links a thing to the time interval during which it holds.</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will be observed that the relationships fall into a small number of natural groups: those that describe causation and propagation (affects, hasCause, propagatesTo, triggersResponse), those that describe location and structure (locatedIn, contains, dependsOn, connectsTo), those that describe governance (governedBy, governs, implementedBy), and those that describe observation (hasObservation, observes, evaluatedIn). This grouping reflects the fundamental concerns of the AntifragiCity project: the modelling of events, the representation of the network, the role of institutions, and the gathering of evidence.</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III.  Data Properties: How Values are Recorded</w:t>
      </w:r>
    </w:p>
    <w:p>
      <w:pPr>
        <w:spacing w:after="100" w:before="100" w:line="320"/>
        <w:jc w:val="both"/>
      </w:pPr>
      <w:r>
        <w:rPr>
          <w:rFonts w:ascii="Garamond" w:cs="Garamond" w:eastAsia="Garamond" w:hAnsi="Garamond"/>
          <w:sz w:val="22"/>
          <w:szCs w:val="22"/>
        </w:rPr>
        <w:t xml:space="preserve">In addition to the relationships among classes, the ontology defines data properties, by which numerical and textual values are attached to instances of the classes. These properties are the means by which the system records what has been measured, computed, or asserted. The principal groups are summarised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rPr>
          <w:tblHeader/>
        </w:trPr>
        <w:tc>
          <w:tcPr>
            <w:tcW w:type="dxa" w:w="1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Group</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Property</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Applies to</w:t>
            </w:r>
          </w:p>
        </w:tc>
        <w:tc>
          <w:tcPr>
            <w:tcW w:type="dxa" w:w="22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Unit / Range</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Performance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hasTravelTime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Trip, Edge</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minutes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Performance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hasCapacityUtilisation</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TransportElement</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ratio (0–1)</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Performance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hasSpeedFlow</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Edge</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km/h</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Performance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hasEmissions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TransportElement, Trip</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kg CO₂-equivalent</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Performance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hasEnergyUse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MobilityService</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kWh</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Antifragility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hasAntifragilityScore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SystemState</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−1 to +1 (positive denotes improvement under stress)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Antifragility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hasResilienceIndex</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SystemState</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Antifragility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hasFragilityMetric</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TransportElement</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Antifragility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hasPerformanceDelta</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SystemState</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percentage from baseline</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Antifragility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hasRecoveryTime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SystemState</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minutes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Equity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hasServiceAccess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Actor</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Equity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hasRiskExposure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Actor, SpatialUnit</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Equity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hasSocialVulnerability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Actor</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quality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hasTrustScore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Observation</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quality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hasConfidence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Observation</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index (0–1)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quality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hasLatency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Observation</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seconds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Time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hasStartTime / hasEndTime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DisruptionEvent, TemporalUnit</w:t>
            </w:r>
          </w:p>
        </w:tc>
        <w:tc>
          <w:tcPr>
            <w:tcW w:type="dxa" w:w="22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ISO date and time</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Time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hasDuration</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DisruptionEvent, Trip</w:t>
            </w:r>
          </w:p>
        </w:tc>
        <w:tc>
          <w:tcPr>
            <w:tcW w:type="dxa" w:w="22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minutes</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The reader is invited to observe two features of the data properties. First, that the antifragility properties (hasAntifragilityScore, hasResilienceIndex, hasRecoveryTime, and so on) are attached to SystemState, in keeping with the conception of antifragility as a property of the system’s state at a given moment, rather than of any single component. Second, that every Observation possesses properties for trust, confidence, latency, and data quality — a deliberate provision that allows the system to expose, alongside its outputs, an honest account of the certainty with which they may be regarded.</w:t>
      </w:r>
    </w:p>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IV.  A Worked Example: Tracing a Use Case Through the Ontology</w:t>
      </w:r>
    </w:p>
    <w:p>
      <w:pPr>
        <w:spacing w:after="100" w:before="100" w:line="320"/>
        <w:jc w:val="both"/>
      </w:pPr>
      <w:r>
        <w:rPr>
          <w:rFonts w:ascii="Garamond" w:cs="Garamond" w:eastAsia="Garamond" w:hAnsi="Garamond"/>
          <w:sz w:val="22"/>
          <w:szCs w:val="22"/>
        </w:rPr>
        <w:t xml:space="preserve">To illustrate the manner in which a use case is represented within the ontology, the worked example introduced in the Shortlist of Use Cases is here traced, element by element, through the classes and relationships of the present reference. The example is the hospital-access scenario during a flash flood (UC-EX-01).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Element of the use case</w:t>
            </w:r>
          </w:p>
        </w:tc>
        <w:tc>
          <w:tcPr>
            <w:tcW w:type="dxa" w:w="61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Representation in the ontology</w:t>
            </w:r>
          </w:p>
        </w:tc>
      </w:tr>
      <w:tr>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flood event</w:t>
            </w:r>
          </w:p>
        </w:tc>
        <w:tc>
          <w:tcPr>
            <w:tcW w:type="dxa" w:w="6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 instance of DisruptionEvent (subclass: hazard event), with a hasStartTime, a hasEndTime, and a locatedIn relation to a SpatialUnit (the flooded district).</w:t>
            </w:r>
          </w:p>
        </w:tc>
      </w:tr>
      <w:tr>
        <w:tc>
          <w:tcPr>
            <w:tcW w:type="dxa" w:w="3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hospital</w:t>
            </w:r>
          </w:p>
        </w:tc>
        <w:tc>
          <w:tcPr>
            <w:tcW w:type="dxa" w:w="6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 instance of TransportElement (specifically, an Asset of type ‘critical facility’) with a locatedIn relation to a SpatialUnit and a hasCriticality value close to one.</w:t>
            </w:r>
          </w:p>
        </w:tc>
      </w:tr>
      <w:tr>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road segments</w:t>
            </w:r>
          </w:p>
        </w:tc>
        <w:tc>
          <w:tcPr>
            <w:tcW w:type="dxa" w:w="6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Instances of TransportElement (subclass: Edge), connectsTo other edges, with a hasOperationalStatus that becomes ‘Closed’ during the event.</w:t>
            </w:r>
          </w:p>
        </w:tc>
      </w:tr>
      <w:tr>
        <w:tc>
          <w:tcPr>
            <w:tcW w:type="dxa" w:w="3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‘Affects’ the network</w:t>
            </w:r>
          </w:p>
        </w:tc>
        <w:tc>
          <w:tcPr>
            <w:tcW w:type="dxa" w:w="6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flood DisruptionEvent affects the affected Edges and any MobilityService that relies upon them.</w:t>
            </w:r>
          </w:p>
        </w:tc>
      </w:tr>
      <w:tr>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traffic operator</w:t>
            </w:r>
          </w:p>
        </w:tc>
        <w:tc>
          <w:tcPr>
            <w:tcW w:type="dxa" w:w="6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 instance of Actor (subclass: Stakeholder, role: operator).</w:t>
            </w:r>
          </w:p>
        </w:tc>
      </w:tr>
      <w:tr>
        <w:tc>
          <w:tcPr>
            <w:tcW w:type="dxa" w:w="3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rerouting decision</w:t>
            </w:r>
          </w:p>
        </w:tc>
        <w:tc>
          <w:tcPr>
            <w:tcW w:type="dxa" w:w="6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 instance of ResponseAction (subclass: ControlAction); respondsTo the flood event; implementedBy the operator; updatesState to a new SystemState.</w:t>
            </w:r>
          </w:p>
        </w:tc>
      </w:tr>
      <w:tr>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five-minute target</w:t>
            </w:r>
          </w:p>
        </w:tc>
        <w:tc>
          <w:tcPr>
            <w:tcW w:type="dxa" w:w="6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Encoded as a property hasRecoveryTime on the SystemState, which can be observed and compared with the agreed threshold.</w:t>
            </w:r>
          </w:p>
        </w:tc>
      </w:tr>
      <w:tr>
        <w:tc>
          <w:tcPr>
            <w:tcW w:type="dxa" w:w="3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The KPIs</w:t>
            </w:r>
          </w:p>
        </w:tc>
        <w:tc>
          <w:tcPr>
            <w:tcW w:type="dxa" w:w="6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Each measured value (e.g., RTD, accessibility for emergency services) is an Observation that observes a TransportElement or SystemState, with a hasTrustScore for data quality.</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The reader will observe that, by this representation, the use case becomes a connected pattern of instances and relationships within the ontology. The system can, in consequence, reason about it: it can compute the affected mobility services from the affected edges, it can compare the SystemState before and after the response action, it can observe whether the agreed five-minute target was met, and it can, over repeated events, accumulate evidence of the network’s antifragility under flooding.</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  A Preliminary Mapping of Requirements to the Ontology</w:t>
      </w:r>
    </w:p>
    <w:p>
      <w:pPr>
        <w:spacing w:after="100" w:before="100" w:line="320"/>
        <w:jc w:val="both"/>
      </w:pPr>
      <w:r>
        <w:rPr>
          <w:rFonts w:ascii="Garamond" w:cs="Garamond" w:eastAsia="Garamond" w:hAnsi="Garamond"/>
          <w:sz w:val="22"/>
          <w:szCs w:val="22"/>
        </w:rPr>
        <w:t xml:space="preserve">To support the deliberations of Session 3, the table below offers a preliminary mapping of each of the twenty SUMA requirements (drawn from the Reference of SUMA Requirements) to the classes, data properties, and relationships of the ontology that bear most directly upon their satisfaction. The mapping is offered as a starting point, not as a settled prescription; the partners are invited to refine it in the light of their own pilot conditions.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Requirement</w:t>
            </w:r>
          </w:p>
        </w:tc>
        <w:tc>
          <w:tcPr>
            <w:tcW w:type="dxa" w:w="2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Principal class(es)</w:t>
            </w:r>
          </w:p>
        </w:tc>
        <w:tc>
          <w:tcPr>
            <w:tcW w:type="dxa" w:w="2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Principal data properties</w:t>
            </w:r>
          </w:p>
        </w:tc>
        <w:tc>
          <w:tcPr>
            <w:tcW w:type="dxa" w:w="23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Principal relationships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FR-01 — Disruption representation</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DisruptionEvent (and its subclasses)</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hasStartTime, hasEndTime, hasCause, propagatesTo</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affects, locatedIn</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FR-02 — Scenario modelling</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Scenario (BaselineScenario, DisruptiveScenario, WhatIfScenario)</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appliesTo, hasSystemState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evaluatedIn, validDuring</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FR-03 — Antifragility assessment</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SystemState, Observation</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hasAntifragilityScore, hasResilienceIndex, hasRecoveryTime</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hasObservation, evaluatedIn</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FR-04 — Intervention exploration</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ResponseAction, Scenario, SystemState</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hasEconCost, hasBenefitDistribution</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respondsTo, updatesState, implementedBy</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FR-05 — API integration</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All classes</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All</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All</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FR-06 — Near real-time integration</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Observation, DisruptionEvent</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hasLatency, hasConfidence, hasTrustScore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observes, hasObservation</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FR-07 — Learning loop</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Scenario, ResponseAction (LearningAction)</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hasPerformanceDelta</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respondsTo, updatesState</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DR-01 — Data source diversity</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Observation, MobilityService</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hasDataQuality</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generatedBy, observes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DR-02 — Provenance and quality</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Observation</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hasTrustScore, hasDataQuality, hasConfidence, hasLatency</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generatedBy</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IR-01 — External simulator integration</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Scenario (ScenarioInput), Observation</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(simulation outputs)</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forScenario, hasObservation</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IR-02 — Modular architecture</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All classes (modular structure)</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UR-01 — Role-based access</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Actor (UserGroup, Stakeholder)</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(role attribute)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memberOf, implementedBy</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UR-02 — Scenario comparison dashboard</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Scenario, Observation, SystemState</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hasAntifragilityScore, hasEquityKpi</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hasSystemState, hasObservation</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NFR-01 — Documentation</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Documentation of the ontology itself</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NFR-02 — Performance and latency</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Observation</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hasLatency</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NFR-03 — Maintainability through feedback</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ResponseAction (LearningAction)</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GR-01 — Privacy and access control</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Actor, GovernanceInstrument</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governedBy</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GR-02 — Auditability</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Observation, ResponseAction</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hasStartTime, generatedBy</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implementedBy</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GR-03 — Transparency of assumptions</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Observation, Scenario</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hasConfidence, hasDataQuality, hasPredictionError</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GR-04 — Stakeholder input governance</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1A365D"/>
                <w:sz w:val="17"/>
                <w:szCs w:val="17"/>
              </w:rPr>
              <w:t xml:space="preserve">Actor, ResponseAction, GovernanceInstrument</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implementedBy, governedBy</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Each pilot table, in Session 3, may use this mapping as a basis upon which to elaborate the data structures particular to its own use cases. Where additional classes or properties are required, they may be proposed for inclusion in the ontology and recorded for subsequent integration in WP5. The exercise is thus both a refinement of the present mapping and a further extension of the ontology.</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VI.  Alignment with International Standards</w:t>
      </w:r>
    </w:p>
    <w:p>
      <w:pPr>
        <w:spacing w:after="100" w:before="100" w:line="320"/>
        <w:jc w:val="both"/>
      </w:pPr>
      <w:r>
        <w:rPr>
          <w:rFonts w:ascii="Garamond" w:cs="Garamond" w:eastAsia="Garamond" w:hAnsi="Garamond"/>
          <w:sz w:val="22"/>
          <w:szCs w:val="22"/>
        </w:rPr>
        <w:t xml:space="preserve">The ontology has been designed in alignment with established international standards, so that the AntifragiCity knowledge graph may interoperate with existing data systems and may benefit from the conventions developed in adjacent communities. The principal alignments are summarised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Standard</w:t>
            </w:r>
          </w:p>
        </w:tc>
        <w:tc>
          <w:tcPr>
            <w:tcW w:type="dxa" w:w="2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Domain</w:t>
            </w:r>
          </w:p>
        </w:tc>
        <w:tc>
          <w:tcPr>
            <w:tcW w:type="dxa" w:w="49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Alignment with the AntifragiCity ontology</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GeoSPARQL (OGC)</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Spatial relations</w:t>
            </w:r>
          </w:p>
        </w:tc>
        <w:tc>
          <w:tcPr>
            <w:tcW w:type="dxa" w:w="4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locatedIn ≡ geo:sfWithin; contains ≡ geo:sfContains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SOSA / SSN (W3C)</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Sensor observations</w:t>
            </w:r>
          </w:p>
        </w:tc>
        <w:tc>
          <w:tcPr>
            <w:tcW w:type="dxa" w:w="4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hasObservation ≡ sosa:isFeatureOfInterestOf</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PROV-O (W3C)</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Data provenance</w:t>
            </w:r>
          </w:p>
        </w:tc>
        <w:tc>
          <w:tcPr>
            <w:tcW w:type="dxa" w:w="4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generatedBy ≡ prov:wasGeneratedBy</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OWL-Time (W3C)</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Temporal entities</w:t>
            </w:r>
          </w:p>
        </w:tc>
        <w:tc>
          <w:tcPr>
            <w:tcW w:type="dxa" w:w="4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hasStartTime ≡ time:hasBeginning; hasEndTime ≡ time:hasEnd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DCAT (W3C)</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Data catalogue</w:t>
            </w:r>
          </w:p>
        </w:tc>
        <w:tc>
          <w:tcPr>
            <w:tcW w:type="dxa" w:w="4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Used for the description of data sources and datasets.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Transmodel / NeTEx</w:t>
            </w:r>
          </w:p>
        </w:tc>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Public transport</w:t>
            </w:r>
          </w:p>
        </w:tc>
        <w:tc>
          <w:tcPr>
            <w:tcW w:type="dxa" w:w="4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Reuse of mobility-service concepts where applicable.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DATEX II</w:t>
            </w:r>
          </w:p>
        </w:tc>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Traffic information</w:t>
            </w:r>
          </w:p>
        </w:tc>
        <w:tc>
          <w:tcPr>
            <w:tcW w:type="dxa" w:w="4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Reuse of disruption and traffic-state concepts.</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Concepts that lie outside the scope of these standards — notably antifragility itself, equity-aware response actions, and cascading disruption events — are introduced as novel contributions of the AntifragiCity ontology. These contributions are intended for subsequent submission to the relevant standards communities, in fulfilment of the project’s commitment to standardisation and openness.</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VII.  Subsequent Steps</w:t>
      </w:r>
    </w:p>
    <w:p>
      <w:pPr>
        <w:spacing w:after="100" w:before="100" w:line="320"/>
        <w:jc w:val="both"/>
      </w:pPr>
      <w:r>
        <w:rPr>
          <w:rFonts w:ascii="Garamond" w:cs="Garamond" w:eastAsia="Garamond" w:hAnsi="Garamond"/>
          <w:sz w:val="22"/>
          <w:szCs w:val="22"/>
        </w:rPr>
        <w:t xml:space="preserve">The present reference is offered as the working basis for Session 3 of the Mini General Assembly, in which the requirements selected by each pilot in Session 2 will be mapped to the ontology classes and data structures here described. The outcomes of that mapping will, in turn, inform Session 4 (the selection of KPIs from the consolidated register), Session 5 (the translation of requirements into system functionality), and Session 6 (the design of the SUMA architecture). The ontology is therefore the formal language by which the work of the assembly is rendered coherent and computable.</w:t>
      </w:r>
    </w:p>
    <w:p>
      <w:pPr>
        <w:spacing w:after="100" w:before="100" w:line="320"/>
        <w:jc w:val="both"/>
      </w:pPr>
      <w:r>
        <w:rPr>
          <w:rFonts w:ascii="Garamond" w:cs="Garamond" w:eastAsia="Garamond" w:hAnsi="Garamond"/>
          <w:sz w:val="22"/>
          <w:szCs w:val="22"/>
        </w:rPr>
        <w:t xml:space="preserve">The partners are invited to consider, in advance of the assembly, how their pilot use cases would be represented in the terms of this reference, and to come prepared with such observations and proposals as they may wish to contribute. In so doing, they will assist in the further development of the ontology and in the construction of the SUMA system that is built upon it.</w:t>
      </w:r>
    </w:p>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t xml:space="preserve">AntifragiCity  ·  Horizon Europe  ·  Grant Agreement No. 101203052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7"/>
        <w:szCs w:val="17"/>
      </w:rPr>
      <w:t xml:space="preserve">AntifragiCity — Reference of Ontology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1A365D"/>
      <w:sz w:val="30"/>
      <w:szCs w:val="30"/>
    </w:rPr>
  </w:style>
  <w:style w:type="paragraph" w:styleId="Heading2">
    <w:name w:val="Heading 2"/>
    <w:basedOn w:val="Normal"/>
    <w:next w:val="Normal"/>
    <w:qFormat/>
    <w:pPr>
      <w:spacing w:after="140" w:before="320"/>
      <w:outlineLvl w:val="1"/>
    </w:pPr>
    <w:rPr>
      <w:rFonts w:ascii="Garamond" w:cs="Garamond" w:eastAsia="Garamond" w:hAnsi="Garamond"/>
      <w:b/>
      <w:bCs/>
      <w:color w:val="1A365D"/>
      <w:sz w:val="24"/>
      <w:szCs w:val="24"/>
    </w:rPr>
  </w:style>
  <w:style w:type="paragraph" w:styleId="Heading3">
    <w:name w:val="Heading 3"/>
    <w:basedOn w:val="Normal"/>
    <w:next w:val="Normal"/>
    <w:qFormat/>
    <w:pPr>
      <w:spacing w:after="100" w:before="220"/>
      <w:outlineLvl w:val="2"/>
    </w:pPr>
    <w:rPr>
      <w:rFonts w:ascii="Garamond" w:cs="Garamond" w:eastAsia="Garamond" w:hAnsi="Garamond"/>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2026-05-05T12:13:30.646Z</dcterms:created>
  <dcterms:modified xsi:type="dcterms:W3CDTF">2026-05-05T12:13:30.646Z</dcterms:modified>
</cp:coreProperties>
</file>

<file path=docProps/custom.xml><?xml version="1.0" encoding="utf-8"?>
<Properties xmlns="http://schemas.openxmlformats.org/officeDocument/2006/custom-properties" xmlns:vt="http://schemas.openxmlformats.org/officeDocument/2006/docPropsVTypes"/>
</file>