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Garamond" w:cs="Garamond" w:eastAsia="Garamond" w:hAnsi="Garamond"/>
          <w:b/>
          <w:bCs/>
          <w:color w:val="1A365D"/>
          <w:sz w:val="56"/>
          <w:szCs w:val="56"/>
        </w:rPr>
        <w:t xml:space="preserve">ANTIFRAGICITY</w:t>
      </w:r>
    </w:p>
    <w:p>
      <w:pPr>
        <w:spacing w:after="200" w:before="100"/>
        <w:jc w:val="center"/>
      </w:pPr>
      <w:r>
        <w:rPr>
          <w:rFonts w:ascii="Garamond" w:cs="Garamond" w:eastAsia="Garamond" w:hAnsi="Garamond"/>
          <w:i/>
          <w:iCs/>
          <w:color w:val="555555"/>
          <w:sz w:val="24"/>
          <w:szCs w:val="24"/>
        </w:rPr>
        <w:t xml:space="preserve">Horizon Europe</w:t>
      </w:r>
    </w:p>
    <w:p>
      <w:pPr>
        <w:pBdr>
          <w:top w:val="single" w:color="1A365D" w:sz="12"/>
          <w:bottom w:val="single" w:color="1A365D" w:sz="12"/>
        </w:pBdr>
        <w:spacing w:after="0" w:before="600"/>
        <w:jc w:val="center"/>
      </w:pPr>
      <w:r>
        <w:rPr>
          <w:rFonts w:ascii="Garamond" w:cs="Garamond" w:eastAsia="Garamond" w:hAnsi="Garamond"/>
          <w:color w:val="1A365D"/>
          <w:sz w:val="32"/>
          <w:szCs w:val="32"/>
        </w:rPr>
        <w:t xml:space="preserve"> Pilot Context </w:t>
      </w:r>
    </w:p>
    <w:p>
      <w:pPr>
        <w:pBdr>
          <w:bottom w:val="single" w:color="1A365D" w:sz="12"/>
        </w:pBdr>
        <w:spacing w:after="0" w:before="0"/>
        <w:jc w:val="center"/>
      </w:pPr>
      <w:r>
        <w:rPr>
          <w:rFonts w:ascii="Garamond" w:cs="Garamond" w:eastAsia="Garamond" w:hAnsi="Garamond"/>
          <w:b/>
          <w:bCs/>
          <w:color w:val="1A365D"/>
          <w:sz w:val="36"/>
          <w:szCs w:val="36"/>
        </w:rPr>
        <w:t xml:space="preserve"> Briefings </w:t>
      </w:r>
    </w:p>
    <w:p>
      <w:pPr>
        <w:spacing w:after="0" w:before="400"/>
        <w:jc w:val="center"/>
      </w:pPr>
      <w:r>
        <w:rPr>
          <w:rFonts w:ascii="Garamond" w:cs="Garamond" w:eastAsia="Garamond" w:hAnsi="Garamond"/>
          <w:color w:val="1A365D"/>
          <w:sz w:val="24"/>
          <w:szCs w:val="24"/>
        </w:rPr>
        <w:t xml:space="preserve">Bratislava   ·   Larissa   ·   Odesa   ·   AHEPA</w:t>
      </w:r>
    </w:p>
    <w:p>
      <w:pPr>
        <w:spacing w:after="100" w:before="800"/>
        <w:jc w:val="center"/>
      </w:pPr>
      <w:r>
        <w:rPr>
          <w:rFonts w:ascii="Garamond" w:cs="Garamond" w:eastAsia="Garamond" w:hAnsi="Garamond"/>
          <w:i/>
          <w:iCs/>
          <w:color w:val="2C3E50"/>
          <w:sz w:val="22"/>
          <w:szCs w:val="22"/>
        </w:rPr>
        <w:t xml:space="preserve">A reference document prepared for the Mini General Assembly</w:t>
      </w:r>
    </w:p>
    <w:p>
      <w:pPr>
        <w:spacing w:after="100" w:before="100"/>
        <w:jc w:val="center"/>
      </w:pPr>
      <w:r>
        <w:rPr>
          <w:rFonts w:ascii="Garamond" w:cs="Garamond" w:eastAsia="Garamond" w:hAnsi="Garamond"/>
          <w:color w:val="555555"/>
          <w:sz w:val="22"/>
          <w:szCs w:val="22"/>
        </w:rPr>
        <w:t xml:space="preserve">Cardiff University</w:t>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Preface</w:t>
      </w:r>
    </w:p>
    <w:p>
      <w:pPr>
        <w:spacing w:after="100" w:before="100" w:line="320"/>
        <w:jc w:val="both"/>
      </w:pPr>
      <w:r>
        <w:rPr>
          <w:rFonts w:ascii="Garamond" w:cs="Garamond" w:eastAsia="Garamond" w:hAnsi="Garamond"/>
          <w:sz w:val="22"/>
          <w:szCs w:val="22"/>
        </w:rPr>
        <w:t xml:space="preserve">The present document offers, for the convenience of the partners, a concise briefing upon each of the four pilot demonstrators of the AntifragiCity project. The briefings are drawn from the responses recently received from the local partners of Bratislava, Larissa, Odesa, and AHEPA, in answer to the consortium’s request for information on origin–destination matrices and on local mobility conditions. They are supplemented, where appropriate, by the evidence assembled in deliverables D2.1 (the urban event mapping) and D2.2 (the Citizens’ Forums), and, in the case of Odesa, by the work of Myronenko and colleagues upon the Odesa public-transport network.</w:t>
      </w:r>
    </w:p>
    <w:p>
      <w:pPr>
        <w:spacing w:after="100" w:before="100" w:line="320"/>
        <w:jc w:val="both"/>
      </w:pPr>
      <w:r>
        <w:rPr>
          <w:rFonts w:ascii="Garamond" w:cs="Garamond" w:eastAsia="Garamond" w:hAnsi="Garamond"/>
          <w:sz w:val="22"/>
          <w:szCs w:val="22"/>
        </w:rPr>
        <w:t xml:space="preserve">The intention of the document is to ensure that the partners arrive at the assembly with a shared understanding of the conditions prevailing in each pilot. The briefings are structured uniformly, by which features the four demonstrators may be the more readily compared. Each briefing identifies the role of the demonstrator within the project, the principal employment and residential zones of the city, the congestion hotspots and the protected areas, the data infrastructure available to support SUMA, the historical disruptions of which the city is subject, and the priorities to which SUMA must accordingly attend. A short comparative summary is given at the close, by which the convergences and divergences among the four pilots may be apprehended at a glance.</w:t>
      </w:r>
    </w:p>
    <w:p>
      <w:pPr>
        <w:spacing w:after="100" w:before="100" w:line="320"/>
        <w:jc w:val="both"/>
      </w:pPr>
      <w:r>
        <w:rPr>
          <w:rFonts w:ascii="Garamond" w:cs="Garamond" w:eastAsia="Garamond" w:hAnsi="Garamond"/>
          <w:sz w:val="22"/>
          <w:szCs w:val="22"/>
        </w:rPr>
        <w:t xml:space="preserve">The briefings are not exhaustive; the city leads will, on the morning of the first day of the assembly, present their pilots in greater depth, drawing upon visual material and upon the local knowledge that no consortium-level document can adequately capture. The present briefings are accordingly offered as a point of departure rather than as a substitute.</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I.  A Comparative View of the Four Pilots</w:t>
      </w:r>
    </w:p>
    <w:p>
      <w:pPr>
        <w:spacing w:after="100" w:before="100" w:line="320"/>
        <w:jc w:val="both"/>
      </w:pPr>
      <w:r>
        <w:rPr>
          <w:rFonts w:ascii="Garamond" w:cs="Garamond" w:eastAsia="Garamond" w:hAnsi="Garamond"/>
          <w:sz w:val="22"/>
          <w:szCs w:val="22"/>
        </w:rPr>
        <w:t xml:space="preserve">Before the briefings are presented in turn, it appears expedient to set them in juxtaposition. The table below offers a comparative view of the four demonstrators across six dimensions of immediate practical interest.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rPr>
          <w:tblHeader/>
        </w:trPr>
        <w:tc>
          <w:tcPr>
            <w:tcW w:type="dxa" w:w="22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Dimension</w:t>
            </w:r>
          </w:p>
        </w:tc>
        <w:tc>
          <w:tcPr>
            <w:tcW w:type="dxa" w:w="1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Bratislava</w:t>
            </w:r>
          </w:p>
        </w:tc>
        <w:tc>
          <w:tcPr>
            <w:tcW w:type="dxa" w:w="1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Larissa</w:t>
            </w:r>
          </w:p>
        </w:tc>
        <w:tc>
          <w:tcPr>
            <w:tcW w:type="dxa" w:w="1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Odesa</w:t>
            </w:r>
          </w:p>
        </w:tc>
        <w:tc>
          <w:tcPr>
            <w:tcW w:type="dxa" w:w="17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AHEPA</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8"/>
                <w:szCs w:val="18"/>
              </w:rPr>
              <w:t xml:space="preserve">Dominant disruption type</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Daily congestion; planned works</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Flooding (riverside)</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Power outages; conflict</w:t>
            </w:r>
          </w:p>
        </w:tc>
        <w:tc>
          <w:tcPr>
            <w:tcW w:type="dxa" w:w="1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Flooding; earthquakes; congestion</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8"/>
                <w:szCs w:val="18"/>
              </w:rPr>
              <w:t xml:space="preserve">Scale focus</w:t>
            </w:r>
          </w:p>
        </w:tc>
        <w:tc>
          <w:tcPr>
            <w:tcW w:type="dxa" w:w="1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Daily and mid-scale</w:t>
            </w:r>
          </w:p>
        </w:tc>
        <w:tc>
          <w:tcPr>
            <w:tcW w:type="dxa" w:w="1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Mid- and large-scale</w:t>
            </w:r>
          </w:p>
        </w:tc>
        <w:tc>
          <w:tcPr>
            <w:tcW w:type="dxa" w:w="1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Mid- and large-scale</w:t>
            </w:r>
          </w:p>
        </w:tc>
        <w:tc>
          <w:tcPr>
            <w:tcW w:type="dxa" w:w="1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Mid- and large-scale</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8"/>
                <w:szCs w:val="18"/>
              </w:rPr>
              <w:t xml:space="preserve">Traffic-count data</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Partial (key intersections)</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Not yet available</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Fragmentary</w:t>
            </w:r>
          </w:p>
        </w:tc>
        <w:tc>
          <w:tcPr>
            <w:tcW w:type="dxa" w:w="1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Comprehensive (Smart Lab)</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8"/>
                <w:szCs w:val="18"/>
              </w:rPr>
              <w:t xml:space="preserve">Planning software</w:t>
            </w:r>
          </w:p>
        </w:tc>
        <w:tc>
          <w:tcPr>
            <w:tcW w:type="dxa" w:w="1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VISUM and VISSIM</w:t>
            </w:r>
          </w:p>
        </w:tc>
        <w:tc>
          <w:tcPr>
            <w:tcW w:type="dxa" w:w="1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None in use</w:t>
            </w:r>
          </w:p>
        </w:tc>
        <w:tc>
          <w:tcPr>
            <w:tcW w:type="dxa" w:w="1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Not specified</w:t>
            </w:r>
          </w:p>
        </w:tc>
        <w:tc>
          <w:tcPr>
            <w:tcW w:type="dxa" w:w="1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VISUM (since 2014); SUMo</w:t>
            </w:r>
          </w:p>
        </w:tc>
      </w:tr>
      <w:tr>
        <w:tc>
          <w:tcPr>
            <w:tcW w:type="dxa" w:w="2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8"/>
                <w:szCs w:val="18"/>
              </w:rPr>
              <w:t xml:space="preserve">Specific protected area</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Government district (events)</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Papanastasiou street</w:t>
            </w:r>
          </w:p>
        </w:tc>
        <w:tc>
          <w:tcPr>
            <w:tcW w:type="dxa" w:w="1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Khadzhibeysky–Centre link</w:t>
            </w:r>
          </w:p>
        </w:tc>
        <w:tc>
          <w:tcPr>
            <w:tcW w:type="dxa" w:w="1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AHEPA Hospital</w:t>
            </w:r>
          </w:p>
        </w:tc>
      </w:tr>
      <w:tr>
        <w:tc>
          <w:tcPr>
            <w:tcW w:type="dxa" w:w="2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8"/>
                <w:szCs w:val="18"/>
              </w:rPr>
              <w:t xml:space="preserve">Citizens’ forum evidence</w:t>
            </w:r>
          </w:p>
        </w:tc>
        <w:tc>
          <w:tcPr>
            <w:tcW w:type="dxa" w:w="1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Yes (40 participants)</w:t>
            </w:r>
          </w:p>
        </w:tc>
        <w:tc>
          <w:tcPr>
            <w:tcW w:type="dxa" w:w="1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Yes (24 participants)</w:t>
            </w:r>
          </w:p>
        </w:tc>
        <w:tc>
          <w:tcPr>
            <w:tcW w:type="dxa" w:w="1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Suspended (security)</w:t>
            </w:r>
          </w:p>
        </w:tc>
        <w:tc>
          <w:tcPr>
            <w:tcW w:type="dxa" w:w="1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Constituency-specific approach</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It will be observed that no two pilots resemble one another in all their features. The Bratislava pilot is dominated by daily and operational concerns; Larissa by the recurrent threat of riverside flooding; Odesa by the complications of conflict and infrastructure precariousness; AHEPA by the imperative of preserving access to a hospital located in a congested urban core. The implications for SUMA are consequently differentiated: a single core platform must serve all four pilots, but its instantiation in each must reflect the local conditions here described.</w:t>
      </w:r>
    </w:p>
    <w:p>
      <w:pPr>
        <w:spacing w:after="80" w:before="80"/>
      </w:pPr>
      <w:r>
        <w:t xml:space="preserve"/>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II.  Bratislava</w:t>
      </w:r>
    </w:p>
    <w:p>
      <w:pPr>
        <w:pStyle w:val="Heading2"/>
        <w:spacing w:after="140" w:before="320"/>
      </w:pPr>
      <w:r>
        <w:rPr>
          <w:rFonts w:ascii="Garamond" w:cs="Garamond" w:eastAsia="Garamond" w:hAnsi="Garamond"/>
          <w:b/>
          <w:bCs/>
          <w:color w:val="1A365D"/>
          <w:sz w:val="24"/>
          <w:szCs w:val="24"/>
        </w:rPr>
        <w:t xml:space="preserve">The Bratislava Demonstrator</w:t>
      </w:r>
    </w:p>
    <w:p>
      <w:pPr>
        <w:spacing w:after="100" w:before="100" w:line="320"/>
        <w:jc w:val="both"/>
      </w:pPr>
      <w:r>
        <w:rPr>
          <w:rFonts w:ascii="Garamond" w:cs="Garamond" w:eastAsia="Garamond" w:hAnsi="Garamond"/>
          <w:sz w:val="22"/>
          <w:szCs w:val="22"/>
        </w:rPr>
        <w:t xml:space="preserve">Bratislava participates in AntifragiCity as the demonstrator of a growing central European capital, in which the principal mobility challenges arise from the intersection of high suburban commuting demand, planned infrastructure works, and the events that the political and social character of the city periodically occasion. The local partner has confirmed the established use of origin–destination matrices within the Strategic Transport Plan (Generel dopravy) and the operation of a multimodal transport model in PTV VISUM, by which scenario analyses for the city are routinely conducted.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Demonstrator role</w:t>
            </w:r>
          </w:p>
        </w:tc>
        <w:tc>
          <w:tcPr>
            <w:tcW w:type="dxa" w:w="6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Capital city demonstrator. Principal interest in daily and mid-scale stressors, with public-transport perturbations, planned road works, and the consequences of urban-development decisions.</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Employment zones</w:t>
            </w:r>
          </w:p>
        </w:tc>
        <w:tc>
          <w:tcPr>
            <w:tcW w:type="dxa" w:w="6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Industrial and logistics: Devínska Nová Ves (Volkswagen Slovakia), Slovnaft (south-east), and the Airport area. Office clusters: Mlynské Nivy, Karadžičova, Pribinova, Prievozská. Academic and administrative: Patrónka, Historical City Centre, Rača. Commercial: Vajnorská (Zátišie–Zlaté Piesky).</w:t>
            </w:r>
          </w:p>
        </w:tc>
      </w:tr>
      <w:tr>
        <w:tc>
          <w:tcPr>
            <w:tcW w:type="dxa" w:w="2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Residential areas</w:t>
            </w:r>
          </w:p>
        </w:tc>
        <w:tc>
          <w:tcPr>
            <w:tcW w:type="dxa" w:w="6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High-density: Petržalka, Ružinov, Dúbravka, Karlova Ves (including Dlhé diely), Rača. Suburban poles generate large daily commuting inflows.</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Congestion hotspots</w:t>
            </w:r>
          </w:p>
        </w:tc>
        <w:tc>
          <w:tcPr>
            <w:tcW w:type="dxa" w:w="6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Critical nodes and radials: Patrónka (north-west gateway); Saratovská, Karloveská, Lamačská, Vajnorská, Rožňavská, Račianska, Hradská, Ružinovská, Slovnaftská. Inner ring: Šancová, Štefanovičova, Staromestská, Dostojevského rad, Karadžičova. Highway: D1 and D2 intra-city sections, Prístavný most. Danube embážement.</w:t>
            </w:r>
          </w:p>
        </w:tc>
      </w:tr>
      <w:tr>
        <w:tc>
          <w:tcPr>
            <w:tcW w:type="dxa" w:w="2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Data infrastructure</w:t>
            </w:r>
          </w:p>
        </w:tc>
        <w:tc>
          <w:tcPr>
            <w:tcW w:type="dxa" w:w="6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Traffic counts collected at selected key intersections, mostly in one-hour intervals; full coverage of minor arteries not yet achieved. Strategic Transport Plan (Generel dopravy) and Multimodal Transport Model (PTV VISUM); microscopic simulation in PTV VISSIM.</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Historical disruptions</w:t>
            </w:r>
          </w:p>
        </w:tc>
        <w:tc>
          <w:tcPr>
            <w:tcW w:type="dxa" w:w="6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Frequent accidents on the highway bypass (D1 and D2) and on critical city arteries. Protest rallies in the government district; major sporting events requiring road closures. Planned roadworks and utility reconstructions. Historical Danube flood events and localised flash flooding affecting underpasses.</w:t>
            </w:r>
          </w:p>
        </w:tc>
      </w:tr>
      <w:tr>
        <w:tc>
          <w:tcPr>
            <w:tcW w:type="dxa" w:w="2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Priorities for SUMA</w:t>
            </w:r>
          </w:p>
        </w:tc>
        <w:tc>
          <w:tcPr>
            <w:tcW w:type="dxa" w:w="6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Anticipation of road-works impact on the radials and inner ring; support for public-transport service continuity; evaluation of urban-planning interventions; coordination of public-assembly and protest closures; flooding response in low-lying underpasses.</w:t>
            </w:r>
          </w:p>
        </w:tc>
      </w:tr>
    </w:tbl>
    <w:p>
      <w:pPr>
        <w:spacing w:after="80" w:before="80"/>
      </w:pPr>
      <w:r>
        <w:t xml:space="preserve"/>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III.  Larissa</w:t>
      </w:r>
    </w:p>
    <w:p>
      <w:pPr>
        <w:pStyle w:val="Heading2"/>
        <w:spacing w:after="140" w:before="320"/>
      </w:pPr>
      <w:r>
        <w:rPr>
          <w:rFonts w:ascii="Garamond" w:cs="Garamond" w:eastAsia="Garamond" w:hAnsi="Garamond"/>
          <w:b/>
          <w:bCs/>
          <w:color w:val="1A365D"/>
          <w:sz w:val="24"/>
          <w:szCs w:val="24"/>
        </w:rPr>
        <w:t xml:space="preserve">The Larissa Demonstrator</w:t>
      </w:r>
    </w:p>
    <w:p>
      <w:pPr>
        <w:spacing w:after="100" w:before="100" w:line="320"/>
        <w:jc w:val="both"/>
      </w:pPr>
      <w:r>
        <w:rPr>
          <w:rFonts w:ascii="Garamond" w:cs="Garamond" w:eastAsia="Garamond" w:hAnsi="Garamond"/>
          <w:sz w:val="22"/>
          <w:szCs w:val="22"/>
        </w:rPr>
        <w:t xml:space="preserve">Larissa participates as the demonstrator of a Greek regional city subject to a recurrent threat of flooding. The local partner has confirmed familiarity with origin–destination matrices, and identified the riverside areas as the dominant local vulnerability. The city does not presently dispose of comprehensive traffic-count data nor of dedicated transport-planning software; planning is conducted by external consultancy, and data collection is to be undertaken in the course of the present year. The pilot is, in consequence, one in which SUMA must be deployable upon comparatively limited inputs.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Demonstrator role</w:t>
            </w:r>
          </w:p>
        </w:tc>
        <w:tc>
          <w:tcPr>
            <w:tcW w:type="dxa" w:w="6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Greek regional demonstrator. Principal interest in flood resilience and in the protection of priority arterial corridors under stress.</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Employment zones</w:t>
            </w:r>
          </w:p>
        </w:tc>
        <w:tc>
          <w:tcPr>
            <w:tcW w:type="dxa" w:w="6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City centre. Concentration of administrative, commercial, and tourist activity within a compact central area, with peak inflows from outlying residential districts.</w:t>
            </w:r>
          </w:p>
        </w:tc>
      </w:tr>
      <w:tr>
        <w:tc>
          <w:tcPr>
            <w:tcW w:type="dxa" w:w="2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Residential areas</w:t>
            </w:r>
          </w:p>
        </w:tc>
        <w:tc>
          <w:tcPr>
            <w:tcW w:type="dxa" w:w="6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Agios Konstantinos and Agios Nikolaos as principal residential areas; smaller residential clusters distributed throughout the urban area.</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Congestion hotspots</w:t>
            </w:r>
          </w:p>
        </w:tc>
        <w:tc>
          <w:tcPr>
            <w:tcW w:type="dxa" w:w="6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Kiprou street (from Platia Evreon Martiron Katoxis to Square of Mayor Agamemnon Blanas). Iroon Politechniou street (from 28th October street to Panagouli street). Papanastasiou street (from Agios Nikolaos to Mayor Sapkas Central Square).</w:t>
            </w:r>
          </w:p>
        </w:tc>
      </w:tr>
      <w:tr>
        <w:tc>
          <w:tcPr>
            <w:tcW w:type="dxa" w:w="2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Priority corridor</w:t>
            </w:r>
          </w:p>
        </w:tc>
        <w:tc>
          <w:tcPr>
            <w:tcW w:type="dxa" w:w="6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Papanastasiou street, between Agios Nikolaos and Mayor Sapkas Central Square, has been identified by the local partner as the corridor that the city wishes most to protect from severe congestion.</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Data infrastructure</w:t>
            </w:r>
          </w:p>
        </w:tc>
        <w:tc>
          <w:tcPr>
            <w:tcW w:type="dxa" w:w="6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Traffic-count data is not presently available; collection is anticipated by the end of the year. The municipal parking system provides data on user numbers and vehicle counts. The e-bike sharing system provides further mobility data. No transport-planning software is presently in use; planning is conducted by external consultancy.</w:t>
            </w:r>
          </w:p>
        </w:tc>
      </w:tr>
      <w:tr>
        <w:tc>
          <w:tcPr>
            <w:tcW w:type="dxa" w:w="2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Historical disruptions</w:t>
            </w:r>
          </w:p>
        </w:tc>
        <w:tc>
          <w:tcPr>
            <w:tcW w:type="dxa" w:w="6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Riverside areas — flooding. Confirmed as the dominant local hazard by the local partner; further details on event chronology, areas affected, and consequences are to be provided at the assembly.</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Priorities for SUMA</w:t>
            </w:r>
          </w:p>
        </w:tc>
        <w:tc>
          <w:tcPr>
            <w:tcW w:type="dxa" w:w="6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Flood response and rerouting around riverside areas; protection of the Papanastasiou priority corridor under stress; forecast-driven anticipation of storm impacts; recovery monitoring after major flood events.</w:t>
            </w:r>
          </w:p>
        </w:tc>
      </w:tr>
    </w:tbl>
    <w:p>
      <w:pPr>
        <w:spacing w:after="80" w:before="80"/>
      </w:pPr>
      <w:r>
        <w:t xml:space="preserve"/>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IV.  Odesa</w:t>
      </w:r>
    </w:p>
    <w:p>
      <w:pPr>
        <w:pStyle w:val="Heading2"/>
        <w:spacing w:after="140" w:before="320"/>
      </w:pPr>
      <w:r>
        <w:rPr>
          <w:rFonts w:ascii="Garamond" w:cs="Garamond" w:eastAsia="Garamond" w:hAnsi="Garamond"/>
          <w:b/>
          <w:bCs/>
          <w:color w:val="1A365D"/>
          <w:sz w:val="24"/>
          <w:szCs w:val="24"/>
        </w:rPr>
        <w:t xml:space="preserve">The Odesa Demonstrator</w:t>
      </w:r>
    </w:p>
    <w:p>
      <w:pPr>
        <w:spacing w:after="100" w:before="100" w:line="320"/>
        <w:jc w:val="both"/>
      </w:pPr>
      <w:r>
        <w:rPr>
          <w:rFonts w:ascii="Garamond" w:cs="Garamond" w:eastAsia="Garamond" w:hAnsi="Garamond"/>
          <w:sz w:val="22"/>
          <w:szCs w:val="22"/>
        </w:rPr>
        <w:t xml:space="preserve">Odesa participates as the demonstrator of a Ukrainian regional city operating under conditions of conflict. The Department of Transport, Communications and Road Traffic Organization of the Odesa City Council has confirmed familiarity with origin–destination matrices and their use in the optimisation of public-transport route networks. The Citizens’ Forum foreseen for D2.2 was suspended owing to the security situation; in its absence, recourse may be had to the recent published research of Myronenko and colleagues, and to the operational evidence assembled by the local department.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Demonstrator role</w:t>
            </w:r>
          </w:p>
        </w:tc>
        <w:tc>
          <w:tcPr>
            <w:tcW w:type="dxa" w:w="6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Ukrainian regional demonstrator. Principal interest in mobility under conditions of conflict, infrastructure damage, and utility disruption, together with the optimisation of public-transport service.</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Employment zones</w:t>
            </w:r>
          </w:p>
        </w:tc>
        <w:tc>
          <w:tcPr>
            <w:tcW w:type="dxa" w:w="6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Central part of the city, in particular the Primorsky district, where administrative institutions, business activity, and tourist infrastructure are concentrated, generating substantial daily transport flows.</w:t>
            </w:r>
          </w:p>
        </w:tc>
      </w:tr>
      <w:tr>
        <w:tc>
          <w:tcPr>
            <w:tcW w:type="dxa" w:w="2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Residential areas</w:t>
            </w:r>
          </w:p>
        </w:tc>
        <w:tc>
          <w:tcPr>
            <w:tcW w:type="dxa" w:w="6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Khadzhibeysky, Peresypsky, and Kyivsky districts, with significant multi-storey residential development, generating considerable demand for movement towards the central employment areas, educational institutions, and service points.</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Congestion hotspots</w:t>
            </w:r>
          </w:p>
        </w:tc>
        <w:tc>
          <w:tcPr>
            <w:tcW w:type="dxa" w:w="6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Balkivska Street, Mykolaivska Doroha, Lyustdorfska Doroha, and Nebesnoi Sotni Avenue. Also the central area, including the Railway Station district and the Pryvoz market.</w:t>
            </w:r>
          </w:p>
        </w:tc>
      </w:tr>
      <w:tr>
        <w:tc>
          <w:tcPr>
            <w:tcW w:type="dxa" w:w="2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Priority connections</w:t>
            </w:r>
          </w:p>
        </w:tc>
        <w:tc>
          <w:tcPr>
            <w:tcW w:type="dxa" w:w="6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Stable communication between the remote residential districts of Khadzhibeysky, Peresypsky, and Kyivsky and the centre of the city, with particular regard to emergency services and public transport.</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Data infrastructure</w:t>
            </w:r>
          </w:p>
        </w:tc>
        <w:tc>
          <w:tcPr>
            <w:tcW w:type="dxa" w:w="6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Field surveys and technical traffic-regulation means (including video surveillance), conducted by the Department of Transport, Communications and Road Traffic Organization. Data are fragmentary and applied to operational tasks. The Department is developing schemes for shared bus-and-emergency-vehicle lanes.</w:t>
            </w:r>
          </w:p>
        </w:tc>
      </w:tr>
      <w:tr>
        <w:tc>
          <w:tcPr>
            <w:tcW w:type="dxa" w:w="2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Historical disruptions</w:t>
            </w:r>
          </w:p>
        </w:tc>
        <w:tc>
          <w:tcPr>
            <w:tcW w:type="dxa" w:w="6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Confirmed power outage of November 2024 with public-transport delays of approximately fifteen minutes. Weather-related emergencies and security-situation restrictions; further detail constrained by the operational context.</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Citizen evidence</w:t>
            </w:r>
          </w:p>
        </w:tc>
        <w:tc>
          <w:tcPr>
            <w:tcW w:type="dxa" w:w="6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From Myronenko et al. (Smart Cities, 2023), passenger satisfaction with the public-transport network is principally driven by timeliness (95 per cent of respondents), environmental benefit (87 per cent), and fuel saving (72 per cent).</w:t>
            </w:r>
          </w:p>
        </w:tc>
      </w:tr>
      <w:tr>
        <w:tc>
          <w:tcPr>
            <w:tcW w:type="dxa" w:w="2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Priorities for SUMA</w:t>
            </w:r>
          </w:p>
        </w:tc>
        <w:tc>
          <w:tcPr>
            <w:tcW w:type="dxa" w:w="6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Mobility response during power outages on principal arterials; maintenance of critical mobility during infrastructure damage; continuity of emergency-service access during simultaneous disruptions; restoration planning after major disruptions; optimisation of the public-transport network for resilience and passenger satisfaction.</w:t>
            </w:r>
          </w:p>
        </w:tc>
      </w:tr>
    </w:tbl>
    <w:p>
      <w:pPr>
        <w:spacing w:after="80" w:before="80"/>
      </w:pPr>
      <w:r>
        <w:t xml:space="preserve"/>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V.  AHEPA (Thessaloniki)</w:t>
      </w:r>
    </w:p>
    <w:p>
      <w:pPr>
        <w:pStyle w:val="Heading2"/>
        <w:spacing w:after="140" w:before="320"/>
      </w:pPr>
      <w:r>
        <w:rPr>
          <w:rFonts w:ascii="Garamond" w:cs="Garamond" w:eastAsia="Garamond" w:hAnsi="Garamond"/>
          <w:b/>
          <w:bCs/>
          <w:color w:val="1A365D"/>
          <w:sz w:val="24"/>
          <w:szCs w:val="24"/>
        </w:rPr>
        <w:t xml:space="preserve">The AHEPA Demonstrator</w:t>
      </w:r>
    </w:p>
    <w:p>
      <w:pPr>
        <w:spacing w:after="100" w:before="100" w:line="320"/>
        <w:jc w:val="both"/>
      </w:pPr>
      <w:r>
        <w:rPr>
          <w:rFonts w:ascii="Garamond" w:cs="Garamond" w:eastAsia="Garamond" w:hAnsi="Garamond"/>
          <w:sz w:val="22"/>
          <w:szCs w:val="22"/>
        </w:rPr>
        <w:t xml:space="preserve">AHEPA participates as the demonstrator of a hospital-access pilot within the wider Thessaloniki metropolitan area. Although the AHEPA Hospital does not itself maintain instruments for traffic assessment or management, the Aristotle University of Thessaloniki provides the necessary expertise on its behalf. The pilot benefits from the rich data infrastructure of the Thessaloniki Smart Mobility Living Lab and from a fifteen-year tradition of transport modelling within the city. AHEPA Hospital has been identified by the local partner as the specific location that the consortium wishes most to protect from severe congestion.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Demonstrator role</w:t>
            </w:r>
          </w:p>
        </w:tc>
        <w:tc>
          <w:tcPr>
            <w:tcW w:type="dxa" w:w="6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Hospital-access demonstrator centred upon AHEPA General Hospital. Principal interest in the protection of access conditions to the hospital under disruption, with particular regard to emergency services.</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Employment zones (Thessaloniki context)</w:t>
            </w:r>
          </w:p>
        </w:tc>
        <w:tc>
          <w:tcPr>
            <w:tcW w:type="dxa" w:w="6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West Thessaloniki: industrial and production core (Sindos, Kalochori, the Western Entrance with Menemeni and Eleftheriou-Kordelio). City centre: business and retail concentration along the Aristotelous and Dimitriou Gounari pedestrian corridors. Port and logistics zone (Port of Thessaloniki). Innovation and Technology zone.</w:t>
            </w:r>
          </w:p>
        </w:tc>
      </w:tr>
      <w:tr>
        <w:tc>
          <w:tcPr>
            <w:tcW w:type="dxa" w:w="2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Residential areas</w:t>
            </w:r>
          </w:p>
        </w:tc>
        <w:tc>
          <w:tcPr>
            <w:tcW w:type="dxa" w:w="6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East: Kalamaria and adjoining municipalities; the most prosperous and most expensive residential zone. West: Stavroupoli, Menemeni, Eleftheriou-Kordelio; historically more popular and affordable. City Centre: socially mixed residential hub blending historic areas with modern multi-storey apartment buildings.</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Congestion hotspots</w:t>
            </w:r>
          </w:p>
        </w:tc>
        <w:tc>
          <w:tcPr>
            <w:tcW w:type="dxa" w:w="6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Inner Ring Road (14 km section, particularly near merging and diverging areas). Egnatia and Tsimiski (horizontal axes within the city centre). Vertical arteries connecting the horizontal axes. Average daily volumes near 45,000 vehicles on main roads; speeds frequently 25–30 km/h on secondary roads.</w:t>
            </w:r>
          </w:p>
        </w:tc>
      </w:tr>
      <w:tr>
        <w:tc>
          <w:tcPr>
            <w:tcW w:type="dxa" w:w="2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Priority area</w:t>
            </w:r>
          </w:p>
        </w:tc>
        <w:tc>
          <w:tcPr>
            <w:tcW w:type="dxa" w:w="6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AHEPA Hospital, located within the city centre, has been identified by the local partner as the specific location that the consortium wishes most to protect from severe congestion.</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Data infrastructure</w:t>
            </w:r>
          </w:p>
        </w:tc>
        <w:tc>
          <w:tcPr>
            <w:tcW w:type="dxa" w:w="6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Smart Mobility Living Lab. Bluetooth detectors, inductive loops, cameras, smart traffic lights. Floating car data from cooperative vehicles (taxis). Traffic Control Centre operated by the Region of Central Macedonia. VISUM model commissioned in 2014 (not yet publicly available). The Hellenic Institute of Transport uses the SUMo software for the city’s Sustainable Urban Mobility Plan.</w:t>
            </w:r>
          </w:p>
        </w:tc>
      </w:tr>
      <w:tr>
        <w:tc>
          <w:tcPr>
            <w:tcW w:type="dxa" w:w="26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Historical disruptions</w:t>
            </w:r>
          </w:p>
        </w:tc>
        <w:tc>
          <w:tcPr>
            <w:tcW w:type="dxa" w:w="6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Flood and storm events (six recorded in D2.1). Earthquake events (three recorded; Aristotle University seismic record consulted). Major traffic congestion events (one recorded in 2025). National meteorological records (meteo.gr) and university seismic records (seismo.auth.gr) are available.</w:t>
            </w:r>
          </w:p>
        </w:tc>
      </w:tr>
      <w:t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iCs/>
                <w:color w:val="2C3E50"/>
                <w:sz w:val="19"/>
                <w:szCs w:val="19"/>
              </w:rPr>
              <w:t xml:space="preserve">Priorities for SUMA</w:t>
            </w:r>
          </w:p>
        </w:tc>
        <w:tc>
          <w:tcPr>
            <w:tcW w:type="dxa" w:w="6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Preservation of hospital access during flood events; protection of access during major traffic disruptions on the central axes; earthquake response and post-event infrastructure assessment; coordination of inter-facility patient transfers during regional disruptions.</w:t>
            </w:r>
          </w:p>
        </w:tc>
      </w:tr>
    </w:tbl>
    <w:p>
      <w:pPr>
        <w:spacing w:after="80" w:before="80"/>
      </w:pPr>
      <w:r>
        <w:t xml:space="preserve"/>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VI.  Closing Observations</w:t>
      </w:r>
    </w:p>
    <w:p>
      <w:pPr>
        <w:spacing w:after="100" w:before="100" w:line="320"/>
        <w:jc w:val="both"/>
      </w:pPr>
      <w:r>
        <w:rPr>
          <w:rFonts w:ascii="Garamond" w:cs="Garamond" w:eastAsia="Garamond" w:hAnsi="Garamond"/>
          <w:sz w:val="22"/>
          <w:szCs w:val="22"/>
        </w:rPr>
        <w:t xml:space="preserve">Three observations may be drawn from the briefings here presented. The first is that the four pilots, taken together, span the principal categories of disruption foreseen in the AntifragiCity project: daily and operational stress (Bratislava), environmental hazard (Larissa, AHEPA), utility and infrastructure precariousness (Odesa), and event-driven public-space disruption (Bratislava, others). No single pilot exhausts the project’s ambitions; rather, the four are complementary in their disruption profiles.</w:t>
      </w:r>
    </w:p>
    <w:p>
      <w:pPr>
        <w:spacing w:after="100" w:before="100" w:line="320"/>
        <w:jc w:val="both"/>
      </w:pPr>
      <w:r>
        <w:rPr>
          <w:rFonts w:ascii="Garamond" w:cs="Garamond" w:eastAsia="Garamond" w:hAnsi="Garamond"/>
          <w:sz w:val="22"/>
          <w:szCs w:val="22"/>
        </w:rPr>
        <w:t xml:space="preserve">The second observation is that the data infrastructures of the four pilots differ markedly. Thessaloniki, through the Smart Mobility Living Lab, possesses the most advanced provision; Bratislava operates a mature transport model in VISUM; Odesa works with fragmentary data assembled by field survey; Larissa is presently without traffic-count data and without transport-planning software. SUMA must accordingly be designed to operate gracefully across this range, with degraded-mode provision for the data-poor pilots and rich integration for the data-rich.</w:t>
      </w:r>
    </w:p>
    <w:p>
      <w:pPr>
        <w:spacing w:after="100" w:before="100" w:line="320"/>
        <w:jc w:val="both"/>
      </w:pPr>
      <w:r>
        <w:rPr>
          <w:rFonts w:ascii="Garamond" w:cs="Garamond" w:eastAsia="Garamond" w:hAnsi="Garamond"/>
          <w:sz w:val="22"/>
          <w:szCs w:val="22"/>
        </w:rPr>
        <w:t xml:space="preserve">The third observation is that the priorities to which SUMA must attend are, in each pilot, identifiable with a small number of corridors, areas, or facilities: Patrónka and the inner ring in Bratislava; Papanastasiou street in Larissa; the Khadzhibeysky–Centre link in Odesa; AHEPA Hospital in Thessaloniki. The deliberations of the assembly may usefully concentrate upon these specific locations, by which the abstract requirements of the system are anchored in the concrete circumstances of the four cities.</w:t>
      </w:r>
    </w:p>
    <w:p>
      <w:pPr>
        <w:spacing w:after="80" w:before="80"/>
      </w:pPr>
      <w: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6"/>
        <w:szCs w:val="16"/>
      </w:rPr>
      <w:t xml:space="preserve">AntifragiCity  ·  Horizon Europe  ·  Grant Agreement No. 101203052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88888"/>
        <w:sz w:val="17"/>
        <w:szCs w:val="17"/>
      </w:rPr>
      <w:t xml:space="preserve">AntifragiCity — Pilot Context Briefings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Garamond" w:cs="Garamond" w:eastAsia="Garamond" w:hAnsi="Garamond"/>
      <w:b/>
      <w:bCs/>
      <w:color w:val="1A365D"/>
      <w:sz w:val="30"/>
      <w:szCs w:val="30"/>
    </w:rPr>
  </w:style>
  <w:style w:type="paragraph" w:styleId="Heading2">
    <w:name w:val="Heading 2"/>
    <w:basedOn w:val="Normal"/>
    <w:next w:val="Normal"/>
    <w:qFormat/>
    <w:pPr>
      <w:spacing w:after="140" w:before="320"/>
      <w:outlineLvl w:val="1"/>
    </w:pPr>
    <w:rPr>
      <w:rFonts w:ascii="Garamond" w:cs="Garamond" w:eastAsia="Garamond" w:hAnsi="Garamond"/>
      <w:b/>
      <w:bCs/>
      <w:color w:val="1A365D"/>
      <w:sz w:val="24"/>
      <w:szCs w:val="24"/>
    </w:rPr>
  </w:style>
  <w:style w:type="paragraph" w:styleId="Heading3">
    <w:name w:val="Heading 3"/>
    <w:basedOn w:val="Normal"/>
    <w:next w:val="Normal"/>
    <w:qFormat/>
    <w:pPr>
      <w:spacing w:after="100" w:before="220"/>
      <w:outlineLvl w:val="2"/>
    </w:pPr>
    <w:rPr>
      <w:rFonts w:ascii="Garamond" w:cs="Garamond" w:eastAsia="Garamond" w:hAnsi="Garamond"/>
      <w:i/>
      <w:i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2026-05-05T13:54:39.700Z</dcterms:created>
  <dcterms:modified xsi:type="dcterms:W3CDTF">2026-05-05T13:54:39.701Z</dcterms:modified>
</cp:coreProperties>
</file>

<file path=docProps/custom.xml><?xml version="1.0" encoding="utf-8"?>
<Properties xmlns="http://schemas.openxmlformats.org/officeDocument/2006/custom-properties" xmlns:vt="http://schemas.openxmlformats.org/officeDocument/2006/docPropsVTypes"/>
</file>