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aramond" w:cs="Garamond" w:eastAsia="Garamond" w:hAnsi="Garamond"/>
          <w:b/>
          <w:bCs/>
          <w:color w:val="1A365D"/>
          <w:sz w:val="56"/>
          <w:szCs w:val="56"/>
        </w:rPr>
        <w:t xml:space="preserve">ANTIFRAGICITY</w:t>
      </w:r>
    </w:p>
    <w:p>
      <w:pPr>
        <w:spacing w:after="200" w:before="100"/>
        <w:jc w:val="center"/>
      </w:pPr>
      <w:r>
        <w:rPr>
          <w:rFonts w:ascii="Garamond" w:cs="Garamond" w:eastAsia="Garamond" w:hAnsi="Garamond"/>
          <w:i/>
          <w:iCs/>
          <w:color w:val="555555"/>
          <w:sz w:val="24"/>
          <w:szCs w:val="24"/>
        </w:rPr>
        <w:t xml:space="preserve">Horizon Europe</w:t>
      </w:r>
    </w:p>
    <w:p>
      <w:pPr>
        <w:pBdr>
          <w:top w:val="single" w:color="1A365D" w:sz="12"/>
          <w:bottom w:val="single" w:color="1A365D" w:sz="12"/>
        </w:pBdr>
        <w:spacing w:after="0" w:before="600"/>
        <w:jc w:val="center"/>
      </w:pPr>
      <w:r>
        <w:rPr>
          <w:rFonts w:ascii="Garamond" w:cs="Garamond" w:eastAsia="Garamond" w:hAnsi="Garamond"/>
          <w:color w:val="1A365D"/>
          <w:sz w:val="32"/>
          <w:szCs w:val="32"/>
        </w:rPr>
        <w:t xml:space="preserve"> Reference of </w:t>
      </w:r>
    </w:p>
    <w:p>
      <w:pPr>
        <w:pBdr>
          <w:bottom w:val="single" w:color="1A365D" w:sz="12"/>
        </w:pBdr>
        <w:spacing w:after="0" w:before="0"/>
        <w:jc w:val="center"/>
      </w:pPr>
      <w:r>
        <w:rPr>
          <w:rFonts w:ascii="Garamond" w:cs="Garamond" w:eastAsia="Garamond" w:hAnsi="Garamond"/>
          <w:b/>
          <w:bCs/>
          <w:color w:val="1A365D"/>
          <w:sz w:val="36"/>
          <w:szCs w:val="36"/>
        </w:rPr>
        <w:t xml:space="preserve"> SUMA Requirements </w:t>
      </w:r>
    </w:p>
    <w:p>
      <w:pPr>
        <w:spacing w:after="100" w:before="800"/>
        <w:jc w:val="center"/>
      </w:pPr>
      <w:r>
        <w:rPr>
          <w:rFonts w:ascii="Garamond" w:cs="Garamond" w:eastAsia="Garamond" w:hAnsi="Garamond"/>
          <w:i/>
          <w:iCs/>
          <w:color w:val="2C3E50"/>
          <w:sz w:val="22"/>
          <w:szCs w:val="22"/>
        </w:rPr>
        <w:t xml:space="preserve">A reference document prepared for the Mini General Assembly</w:t>
      </w:r>
    </w:p>
    <w:p>
      <w:pPr>
        <w:spacing w:after="100" w:before="100"/>
        <w:jc w:val="center"/>
      </w:pPr>
      <w:r>
        <w:rPr>
          <w:rFonts w:ascii="Garamond" w:cs="Garamond" w:eastAsia="Garamond" w:hAnsi="Garamond"/>
          <w:color w:val="555555"/>
          <w:sz w:val="22"/>
          <w:szCs w:val="22"/>
        </w:rPr>
        <w:t xml:space="preserve">Cardiff University</w:t>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Preface</w:t>
      </w:r>
    </w:p>
    <w:p>
      <w:pPr>
        <w:spacing w:after="100" w:before="100" w:line="320"/>
        <w:jc w:val="both"/>
      </w:pPr>
      <w:r>
        <w:rPr>
          <w:rFonts w:ascii="Garamond" w:cs="Garamond" w:eastAsia="Garamond" w:hAnsi="Garamond"/>
          <w:sz w:val="22"/>
          <w:szCs w:val="22"/>
        </w:rPr>
        <w:t xml:space="preserve">The present document offers a reference to the requirements that govern the design and the implementation of the SUMA decision-support environment within the AntifragiCity project. It draws upon deliverable D2.6, in which a body of forty-eight candidate requirements was elicited from the literature and submitted to a Delphi-inspired consultation involving twenty-one experts drawn from across the consortium and from invited international panellists.</w:t>
      </w:r>
    </w:p>
    <w:p>
      <w:pPr>
        <w:spacing w:after="100" w:before="100" w:line="320"/>
        <w:jc w:val="both"/>
      </w:pPr>
      <w:r>
        <w:rPr>
          <w:rFonts w:ascii="Garamond" w:cs="Garamond" w:eastAsia="Garamond" w:hAnsi="Garamond"/>
          <w:sz w:val="22"/>
          <w:szCs w:val="22"/>
        </w:rPr>
        <w:t xml:space="preserve">From that consultation a consensual subset emerged, comprising those requirements upon which the experts converged with an interquartile range not exceeding unity. These were subsequently refined into a catalogue of twenty SUMA-bound requirements, organised into six categories — functional, data, interoperability, usability, non-functional, and governance — and rendered measurable through verification methods and acceptance criteria suitable for the work to be undertaken in WP5.</w:t>
      </w:r>
    </w:p>
    <w:p>
      <w:pPr>
        <w:spacing w:after="100" w:before="100" w:line="320"/>
        <w:jc w:val="both"/>
      </w:pPr>
      <w:r>
        <w:rPr>
          <w:rFonts w:ascii="Garamond" w:cs="Garamond" w:eastAsia="Garamond" w:hAnsi="Garamond"/>
          <w:sz w:val="22"/>
          <w:szCs w:val="22"/>
        </w:rPr>
        <w:t xml:space="preserve">The document is offered to the partners with two purposes in view. The first is to provide, in a single accessible form, the complete set of requirements that SUMA must satisfy, so that each demonstrator may approach the Mini General Assembly with a clear understanding of the system specifications. The second is to support the deliberations of Session 2, in which each pilot table will identify and prioritise the requirements most pertinent to its own use cases. To this end, a working table is provided in Section IV, in which the partners may indicate, by tick or annotation, the requirements they regard as essential to their pilot.</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  An Overview of the Requirement Categories</w:t>
      </w:r>
    </w:p>
    <w:p>
      <w:pPr>
        <w:spacing w:after="100" w:before="100" w:line="320"/>
        <w:jc w:val="both"/>
      </w:pPr>
      <w:r>
        <w:rPr>
          <w:rFonts w:ascii="Garamond" w:cs="Garamond" w:eastAsia="Garamond" w:hAnsi="Garamond"/>
          <w:sz w:val="22"/>
          <w:szCs w:val="22"/>
        </w:rPr>
        <w:t xml:space="preserve">The twenty requirements are distributed across six categories. The arrangement is shown in the table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200"/>
        <w:gridCol w:w="4660"/>
      </w:tblGrid>
      <w:tr>
        <w:trPr>
          <w:tblHeader/>
        </w:trPr>
        <w:tc>
          <w:tcPr>
            <w:tcW w:type="dxa" w:w="11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Code</w:t>
            </w:r>
          </w:p>
        </w:tc>
        <w:tc>
          <w:tcPr>
            <w:tcW w:type="dxa" w:w="2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Category</w:t>
            </w:r>
          </w:p>
        </w:tc>
        <w:tc>
          <w:tcPr>
            <w:tcW w:type="dxa" w:w="1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Count</w:t>
            </w:r>
          </w:p>
        </w:tc>
        <w:tc>
          <w:tcPr>
            <w:tcW w:type="dxa" w:w="46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Concerns</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FR</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Functional requirements</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9"/>
                <w:szCs w:val="19"/>
              </w:rPr>
              <w:t xml:space="preserve">7</w:t>
            </w:r>
          </w:p>
        </w:tc>
        <w:tc>
          <w:tcPr>
            <w:tcW w:type="dxa" w:w="4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capabilities that SUMA must offer to the user: how disruptions are represented, how scenarios are modelled, how interventions are explored, and how the system learns from past events.</w:t>
            </w:r>
          </w:p>
        </w:tc>
      </w:tr>
      <w:tr>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DR</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Data requirements</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9"/>
                <w:szCs w:val="19"/>
              </w:rPr>
              <w:t xml:space="preserve">2</w:t>
            </w:r>
          </w:p>
        </w:tc>
        <w:tc>
          <w:tcPr>
            <w:tcW w:type="dxa" w:w="46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properties that data must possess if SUMA is to make use of it: diversity of sources and traceable provenance with quality and uncertainty indicators.</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IR</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Interoperability and integration requirements</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9"/>
                <w:szCs w:val="19"/>
              </w:rPr>
              <w:t xml:space="preserve">2</w:t>
            </w:r>
          </w:p>
        </w:tc>
        <w:tc>
          <w:tcPr>
            <w:tcW w:type="dxa" w:w="4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manner in which SUMA must connect to other systems and accommodate change: integration with external simulators and a modular architecture that admits extension without breakage.</w:t>
            </w:r>
          </w:p>
        </w:tc>
      </w:tr>
      <w:tr>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UR</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Usability and role-based UI requirements</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9"/>
                <w:szCs w:val="19"/>
              </w:rPr>
              <w:t xml:space="preserve">2</w:t>
            </w:r>
          </w:p>
        </w:tc>
        <w:tc>
          <w:tcPr>
            <w:tcW w:type="dxa" w:w="46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arrangements by which different user roles (planner, operator, decision-maker) interact with SUMA and the dashboards through which scenario outputs are presented.</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NFR</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Non-functional requirements</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9"/>
                <w:szCs w:val="19"/>
              </w:rPr>
              <w:t xml:space="preserve">3</w:t>
            </w:r>
          </w:p>
        </w:tc>
        <w:tc>
          <w:tcPr>
            <w:tcW w:type="dxa" w:w="4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qualities that SUMA must exhibit irrespective of its functions: documentation, performance under load, and maintainability through agile feedback.</w:t>
            </w:r>
          </w:p>
        </w:tc>
      </w:tr>
      <w:tr>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GR</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Governance, ethics and privacy</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9"/>
                <w:szCs w:val="19"/>
              </w:rPr>
              <w:t xml:space="preserve">4</w:t>
            </w:r>
          </w:p>
        </w:tc>
        <w:tc>
          <w:tcPr>
            <w:tcW w:type="dxa" w:w="46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institutional safeguards: privacy and access control, auditability, transparency of assumptions and limitations, and governed channels for stakeholder input.</w:t>
            </w:r>
          </w:p>
        </w:tc>
      </w:tr>
      <w:t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Total</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1A365D"/>
                <w:sz w:val="19"/>
                <w:szCs w:val="19"/>
              </w:rPr>
              <w:t xml:space="preserve">All categories</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20</w:t>
            </w:r>
          </w:p>
        </w:tc>
        <w:tc>
          <w:tcPr>
            <w:tcW w:type="dxa" w:w="4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Distilled from forty-eight Delphi-elicited requirements through a single-round consultation with twenty-one experts (consensus criterion IQR ≤ 1.0).</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will be observed that the functional requirements form the largest single category, accounting for seven of the twenty. This is in keeping with the character of SUMA as a decision-support environment, the principal value of which lies in the capabilities it offers to its users. The remaining categories, though smaller in number, are no less indispensable, in that they specify the data, the interfaces, the qualities, and the safeguards within which the functional capabilities must be exercised.</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II.  Summary of the Twenty Requirements</w:t>
      </w:r>
    </w:p>
    <w:p>
      <w:pPr>
        <w:spacing w:after="100" w:before="100" w:line="320"/>
        <w:jc w:val="both"/>
      </w:pPr>
      <w:r>
        <w:rPr>
          <w:rFonts w:ascii="Garamond" w:cs="Garamond" w:eastAsia="Garamond" w:hAnsi="Garamond"/>
          <w:sz w:val="22"/>
          <w:szCs w:val="22"/>
        </w:rPr>
        <w:t xml:space="preserve">The twenty requirements are listed below, with their codes, titles, categories, and verification methods. The complete statement, together with the acceptance criterion of each requirement, is given in Section III. The verification methods range from controlled testing through demonstration and inspection to stakeholder review, in proportions that reflect the technical or experiential nature of each requirement.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500"/>
        <w:gridCol w:w="1900"/>
        <w:gridCol w:w="1880"/>
      </w:tblGrid>
      <w:tr>
        <w:trPr>
          <w:tblHeader/>
        </w:trPr>
        <w:tc>
          <w:tcPr>
            <w:tcW w:type="dxa" w:w="108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Code</w:t>
            </w:r>
          </w:p>
        </w:tc>
        <w:tc>
          <w:tcPr>
            <w:tcW w:type="dxa" w:w="45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Title</w:t>
            </w:r>
          </w:p>
        </w:tc>
        <w:tc>
          <w:tcPr>
            <w:tcW w:type="dxa" w:w="19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Category</w:t>
            </w:r>
          </w:p>
        </w:tc>
        <w:tc>
          <w:tcPr>
            <w:tcW w:type="dxa" w:w="188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Verification method</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FR-01</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Disruption and stressor representation (ontology-aligned)</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Functional</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Test and inspection</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FR-02</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Scenario modelling and ‘what-if’ analysis</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Functional</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Test and demonstration</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FR-03</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Resilience and antifragility assessment</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Functional</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Test and stakeholder review</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FR-04</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Intervention exploration</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Functional</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Test and stakeholder review</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FR-05</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Open and well-documented API</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Functional</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API test</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FR-06</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Near real-time data integration</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Functional</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Performance test and demonstration</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FR-07</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Learning loop from past disturbances</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Functional</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 and stakeholder review</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DR-01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Data source diversity</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Data</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 and test</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DR-02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Data provenance, quality, and uncertainty handling</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Data</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 and test</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IR-01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External simulator integration</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Interoperability</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Demonstration</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IR-02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Modular and extensible architecture</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Interoperability</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 and regression test</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UR-01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Role-based access and workflows</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Usability</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Stakeholder review and test</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UR-02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Scenario comparison and dashboard interpretability</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Usability</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Stakeholder review</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NFR-01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Documentation quality</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Non-functional</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NFR-02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Performance and degradation behaviour</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Non-functional</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Performance test</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NFR-03</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Maintainability through agile feedback</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Non-functional</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 and stakeholder review</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GR-01</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Privacy, access control, and retention</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Governance</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GR-02</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Auditability and accountability</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Governance</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Inspection and test</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GR-03</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Transparency of assumptions and limitations</w:t>
            </w:r>
          </w:p>
        </w:tc>
        <w:tc>
          <w:tcPr>
            <w:tcW w:type="dxa" w:w="1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Governance</w:t>
            </w:r>
          </w:p>
        </w:tc>
        <w:tc>
          <w:tcPr>
            <w:tcW w:type="dxa" w:w="18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Stakeholder review and inspection</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GR-04</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Secure stakeholder input governance</w:t>
            </w:r>
          </w:p>
        </w:tc>
        <w:tc>
          <w:tcPr>
            <w:tcW w:type="dxa" w:w="1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Governance</w:t>
            </w:r>
          </w:p>
        </w:tc>
        <w:tc>
          <w:tcPr>
            <w:tcW w:type="dxa" w:w="18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Test and inspection</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III.  The Twenty Requirements in Detail</w:t>
      </w:r>
    </w:p>
    <w:p>
      <w:pPr>
        <w:spacing w:after="100" w:before="100" w:line="320"/>
        <w:jc w:val="both"/>
      </w:pPr>
      <w:r>
        <w:rPr>
          <w:rFonts w:ascii="Garamond" w:cs="Garamond" w:eastAsia="Garamond" w:hAnsi="Garamond"/>
          <w:sz w:val="22"/>
          <w:szCs w:val="22"/>
        </w:rPr>
        <w:t xml:space="preserve">Each requirement is presented in turn, with its statement, its sources within the Delphi consultation, its linked outputs in WP5, its verification method, and the acceptance criterion by which compliance shall be judged.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FR-01</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Disruption and stressor representation (ontology-aligned)</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ingest and represent events and stressors using a consistent taxonomy and ontology, so that detection, classification, and scenario generation may be made comparable across contexts.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DEL-R13, DEL-R41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D5.1, D5.2</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Test and inspection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Given an ontology-aligned schema for event and stressor objects, when a user or external API submits a valid event instance, the instance is to be accepted, stored, and retrievable, and schema validation is to pass; an invalid instance is to be rejected with an explicit validation error.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FR-02</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Scenario modelling and ‘what-if’ analysis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support the dynamic modelling of urban mobility flows under stress conditions, this being the principal decision-support function of the system.</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DEL-R29, DEL-R41, DEL-R47</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D5.1, D5.2, D5.3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Test and demonstration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is to return comparable outputs for two scenario configurations (baseline and disrupted), accessible by both user interface and API, expressed in the same KPI schema and units, and accompanied by scenario identifiers and timestamps.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FR-03</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Resilience and antifragility assessment</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compute and expose resilience and antifragility metrics, including the traditional indicators (such as congestion and emissions) and the measures reflecting the system’s capacity to thrive and improve under disruption.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DEL-R26, DEL-R31, DEL-R38</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D5.1, D5.3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Test and stakeholder review</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Computed metrics are to be displayed and made exportable, with their definitions (name, formula or reference, input variables, units) available either in documentation or in the user-interface help.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FR-04</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Intervention exploration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permit the user to explore alternative interventions and to compare their expected impacts on resilience and antifragility outcomes within selected scenarios.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DEL-R24, DEL-R43, DEL-R45, DEL-R46</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 D5.3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Test and stakeholder review</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Given two or more intervention options applied to a common baseline, the system is to generate outputs for each, presented in a comparison view that displays trade-offs across the selected KPIs (including environmental and equity indicators where so configured).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FR-05</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Open and well-documented API</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expose its principal capabilities through a documented and versioned application programming interface, by which external tools may submit scenario parameters and retrieve metrics in conformance with published schemas.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DEL-R47, DEL-R30</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D5.1, D5.2</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API test</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Authenticated requests in accordance with the OpenAPI schema are to be processed and returned through versioned endpoints; unauthenticated or unauthorised requests are to be rejected with the appropriate status codes.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FR-06</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Near real-time data integration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support near real-time data integration, so that disruption detection and timely scenario updates may be enabled in operational deployments where data availability permits.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DEL-R07, DEL-R17, DEL-R21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 D5.3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Performance test and demonstration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When new data and events are ingested in the configured near-real-time mode, indicators and dashboards are to be updated within the agreed latency target, the timing of which is to be traceable in system logs.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FR-07</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Learning loop from past disturbances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should incorporate mechanisms by which to learn from historical disruptions, with the object of improving scenario recommendations over successive iterations.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DEL-R27, DEL-R04, DEL-R43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D5.3, D5.4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 and stakeholder review</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When a user records a lesson, an annotation, or a scenario artefact, that artefact is to be persisted, made searchable, and rendered retrievable with metadata including scenario identifier, author or role, and timestamp; subsequent iterations are to reference 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DR-01</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Data source diversity</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accommodate multiple dynamic data streams (such as traffic, weather, and socio-technical signals) so as to represent the urban mobility system in its full range of conditions.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DEL-R06, DEL-R21, DEL-R11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D5.1, D5.2</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 and test</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Datasets representing at least two transport modes (for example, road traffic and public transport) are to be ingested without schema errors and made available to scenario configuration in conformance with the documented data model.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DR-02</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Data provenance, quality, and uncertainty handling</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maintain provenance, quality, and uncertainty indicators alongside ingested data, and shall communicate these to users when outputs are produced.</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DEL-R22, DEL-R20</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D5.1, D5.2</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 and test</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Provenance fields (source, timestamp, version or licence as applicable) and quality or uncertainty indicators are to be recorded and returned with system outputs; missing or low-quality inputs are to be flagged visibly in the user interface and in API responses.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IR-01</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External simulator integration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be capable of integration with external simulators (such as SUMO), allowing it to dispatch scenario configurations and to receive simulation outputs for downstream analysis.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DEL-R41</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Demonstration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An end-to-end integration run is to be executed and observed: SUMA dispatches a scenario configuration to the external simulator, receives the simulation outputs, and stores them under the correct scenario identifier; all stages are to be logged.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IR-02</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Modular and extensible architecture</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be modular and extensible, admitting new connectors, metrics, and scenario modules without disturbing the operation of the core system.</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DEL-R23, DEL-R33, DEL-R15</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 D5.4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 and regression test</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When a new module or connector is added or amended, existing application programming interfaces are to remain backward-compatible (or appropriately versioned), and the existing test suite is to pass without breakage.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UR-01</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Role-based access and workflows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support role-based workflows and user interfaces (planner, operator, decision-maker), in alignment with the role-based UI deliverable foreseen in WP5.</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DEL-R30, DEL-R16</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Stakeholder review and test</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Each defined role is to be presented, upon login, with the navigation and views appropriate to its responsibilities; role-based permissions are to be enforced, with allowed and denied actions clearly distinguished.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UR-02</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Scenario comparison and dashboard interpretability</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offer a dashboard upon which scenario outputs may be compared with clarity and meaning to the relevant user roles.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DEL-R12, DEL-R38, DEL-R39</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Stakeholder review</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Given two or more scenario runs, the dashboard is to present a side-by-side comparison of selected KPIs and (where so configured) distributional and equity indicators, with clear labels, units, and scenario identifiers.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NFR-01</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Documentation quality</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The application programming interface and user interface of SUMA shall be supported by stable and complete documentation suitable for initial testing and integration.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Engineering requirement</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D5.1, D5.3</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A new technical user, following the documentation, is to be enabled to install or access SUMA, to call at least one API endpoint, to execute a minimal scenario workflow, and to interpret the returned outputs by reference to the documented schemas and definitions.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NFR-02</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Performance and degradation behaviour</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meet the agreed performance targets for the chosen deployment mode and, in the event that targets cannot be met, shall expose its degraded-mode behaviour in a documented manner.</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DEL-R07, DEL-R29, DEL-R17</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Performance test</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Under a reference workload, throughput and latency measurements are to be produced and to meet the agreed target; should the target not be met, the degraded-mode behaviour is to be documented and demonstrable.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NFR-03</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Maintainability through agile feedback</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be developed under an agile, feedback-driven process, by which stakeholder observations are logged, prioritised, and tracked through iteration cycles.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DEL-R04, DEL-R27</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 and stakeholder review</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Stakeholder feedback proposing change is to be logged in the issue tracker, prioritised, and tracked through resolution; iteration notes and stakeholder validation are to confirm the incorporation of such feedback.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GR-01</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Privacy, access control, and retention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enforce role-based access, data minimisation, and configurable retention policies, in conformance with applicable privacy obligations.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DEL-R01, DEL-R30</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 D5.4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Roles, retention periods, and access-control policies are to be configurable and enforced; privacy notes (purposes, data types, retention) are to be present in the system documentation.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GR-02</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Auditability and accountability</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maintain audit trails for critical actions (scenario runs, parameter changes, data injections, and decision outputs), recording the identity of the actor and the time of the action.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DEL-R22, DEL-R34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 D5.4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Inspection and test</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Each audit record is to contain the user or role, the timestamp, the action type, the scenario identifier, and the outcome; audit records are to be retrievable and exportable for external review.</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GR-03</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Transparency of assumptions and limitations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expose key assumptions, data quality and provenance indicators, and uncertainty cues alongside its outputs, with the object of preventing misinterpretation.</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DEL-R20, DEL-R22</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D5.3, D5.4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Stakeholder review and inspection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Scenario outputs presented through the user interface or by export are to include explicit assumptions, limitations, and provenance, with uncertainty indicated where applicable; reviewers are to confirm sufficiency.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GR-04</w:t>
            </w:r>
          </w:p>
        </w:tc>
        <w:tc>
          <w:tcPr>
            <w:tcW w:type="dxa" w:w="76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Secure stakeholder input governance</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Statement</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SUMA shall provide controlled mechanisms by which authorised stakeholders may inject local constraints and emergent risks, with validation rules and governance workflows.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Source (Delphi)</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DEL-R34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Linked to WP5</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D5.2, D5.4</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Verification</w:t>
            </w:r>
          </w:p>
        </w:tc>
        <w:tc>
          <w:tcPr>
            <w:tcW w:type="dxa" w:w="7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Test and inspection</w:t>
            </w:r>
          </w:p>
        </w:tc>
      </w:tr>
      <w:tr>
        <w:tc>
          <w:tcPr>
            <w:tcW w:type="dxa" w:w="1700"/>
            <w:tcBorders>
              <w:top w:val="single" w:color="999999" w:sz="4"/>
              <w:left w:val="single" w:color="999999" w:sz="4"/>
              <w:bottom w:val="single" w:color="1A365D" w:sz="8"/>
              <w:right w:val="single" w:color="999999" w:sz="4"/>
            </w:tcBorders>
            <w:shd w:fill="F5F5F5" w:val="clear"/>
            <w:tcMar>
              <w:top w:type="dxa" w:w="80"/>
              <w:left w:type="dxa" w:w="110"/>
              <w:bottom w:type="dxa" w:w="80"/>
              <w:right w:type="dxa" w:w="110"/>
            </w:tcMar>
          </w:tcPr>
          <w:p>
            <w:r>
              <w:rPr>
                <w:rFonts w:ascii="Garamond" w:cs="Garamond" w:eastAsia="Garamond" w:hAnsi="Garamond"/>
                <w:i/>
                <w:iCs/>
                <w:color w:val="2C3E50"/>
                <w:sz w:val="19"/>
                <w:szCs w:val="19"/>
              </w:rPr>
              <w:t xml:space="preserve">Acceptance criterion</w:t>
            </w:r>
          </w:p>
        </w:tc>
        <w:tc>
          <w:tcPr>
            <w:tcW w:type="dxa" w:w="7660"/>
            <w:tcBorders>
              <w:top w:val="single" w:color="999999" w:sz="4"/>
              <w:left w:val="single" w:color="999999" w:sz="4"/>
              <w:bottom w:val="single" w:color="1A365D" w:sz="8"/>
              <w:right w:val="single" w:color="999999" w:sz="4"/>
            </w:tcBorders>
            <w:tcMar>
              <w:top w:type="dxa" w:w="80"/>
              <w:left w:type="dxa" w:w="110"/>
              <w:bottom w:type="dxa" w:w="80"/>
              <w:right w:type="dxa" w:w="110"/>
            </w:tcMar>
          </w:tcPr>
          <w:p>
            <w:pPr>
              <w:jc w:val="both"/>
            </w:pPr>
            <w:r>
              <w:rPr>
                <w:rFonts w:ascii="Garamond" w:cs="Garamond" w:eastAsia="Garamond" w:hAnsi="Garamond"/>
                <w:sz w:val="19"/>
                <w:szCs w:val="19"/>
              </w:rPr>
              <w:t xml:space="preserve">When a stakeholder submits a new constraint or risk input, the system is to validate it against defined rules, record the provenance of the input, route it through the configured approval workflow, and (if approved) include it in subsequent scenario configurations with full traceability.</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IV.  Working Table for the Pilot Demonstrators</w:t>
      </w:r>
    </w:p>
    <w:p>
      <w:pPr>
        <w:spacing w:after="100" w:before="100" w:line="320"/>
        <w:jc w:val="both"/>
      </w:pPr>
      <w:r>
        <w:rPr>
          <w:rFonts w:ascii="Garamond" w:cs="Garamond" w:eastAsia="Garamond" w:hAnsi="Garamond"/>
          <w:sz w:val="22"/>
          <w:szCs w:val="22"/>
        </w:rPr>
        <w:t xml:space="preserve">In Session 2 of the Mini General Assembly, each pilot table will be invited to identify the requirements that are most relevant to its own context. The table below is offered for that purpose. The partners may indicate, by tick or by other annotation, the requirements they regard as essential, those they regard as desirable but not essential, and those they consider inapplicable to their pilot. The outcome of this exercise will inform the subsequent sessions, in particular the mapping of requirements to ontology and KPIs in Sessions 3 and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500"/>
        <w:gridCol w:w="940"/>
        <w:gridCol w:w="940"/>
        <w:gridCol w:w="940"/>
        <w:gridCol w:w="960"/>
      </w:tblGrid>
      <w:tr>
        <w:trPr>
          <w:tblHeader/>
        </w:trPr>
        <w:tc>
          <w:tcPr>
            <w:tcW w:type="dxa" w:w="108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Code</w:t>
            </w:r>
          </w:p>
        </w:tc>
        <w:tc>
          <w:tcPr>
            <w:tcW w:type="dxa" w:w="45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Title</w:t>
            </w:r>
          </w:p>
        </w:tc>
        <w:tc>
          <w:tcPr>
            <w:tcW w:type="dxa" w:w="94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Bratislava</w:t>
            </w:r>
          </w:p>
        </w:tc>
        <w:tc>
          <w:tcPr>
            <w:tcW w:type="dxa" w:w="94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Larissa</w:t>
            </w:r>
          </w:p>
        </w:tc>
        <w:tc>
          <w:tcPr>
            <w:tcW w:type="dxa" w:w="94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Odesa</w:t>
            </w:r>
          </w:p>
        </w:tc>
        <w:tc>
          <w:tcPr>
            <w:tcW w:type="dxa" w:w="9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AHEPA</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FR-01</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Disruption and stressor representation (ontology-aligned)</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FR-02</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Scenario modelling and ‘what-if’ analysis</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FR-03</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Resilience and antifragility assessment</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FR-04</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Intervention exploration</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FR-05</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Open and well-documented API</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FR-06</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Near real-time data integration</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FR-07</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Learning loop from past disturbances</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DR-01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Data source diversity</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DR-02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Data provenance, quality, and uncertainty handling</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IR-01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External simulator integration</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IR-02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Modular and extensible architecture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UR-01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Role-based access and workflows</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UR-02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Scenario comparison and dashboard interpretability</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NFR-01</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Documentation quality</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NFR-02</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Performance and degradation behaviour</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NFR-03</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Maintainability through agile feedback</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GR-01</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Privacy, access control, and retention</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GR-02</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Auditability and accountability</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GR-03</w:t>
            </w:r>
          </w:p>
        </w:tc>
        <w:tc>
          <w:tcPr>
            <w:tcW w:type="dxa" w:w="4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Transparency of assumptions and limitations</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GR-04</w:t>
            </w:r>
          </w:p>
        </w:tc>
        <w:tc>
          <w:tcPr>
            <w:tcW w:type="dxa" w:w="4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Secure stakeholder input governance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4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is suggested that the convention proposed for use be the following: a tick (✓) for requirements deemed essential, the letter D for those deemed desirable, and a dash (—) for those deemed inapplicable. Comments and reservations may be recorded in the margin or on a separate sheet, for the benefit of the consolidation that follows in the plenary session.</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  Subsequent Steps</w:t>
      </w:r>
    </w:p>
    <w:p>
      <w:pPr>
        <w:spacing w:after="100" w:before="100" w:line="320"/>
        <w:jc w:val="both"/>
      </w:pPr>
      <w:r>
        <w:rPr>
          <w:rFonts w:ascii="Garamond" w:cs="Garamond" w:eastAsia="Garamond" w:hAnsi="Garamond"/>
          <w:sz w:val="22"/>
          <w:szCs w:val="22"/>
        </w:rPr>
        <w:t xml:space="preserve">Once the requirements have been selected by each pilot demonstrator in Session 2, the consortium will proceed to Session 3, in which the chosen requirements are to be mapped to the ontology classes and data structures defined in deliverable D2.5. This mapping renders explicit the data that the system must hold and exchange in order to satisfy the requirements. Session 4 will then identify the KPIs by which the satisfaction of those requirements will be monitored, drawing from the consolidated KPI register. The subsequent sessions on Day 2 will translate the requirements into functionality and architecture, and will consider their implications for triage measures and for the user interface.</w:t>
      </w:r>
    </w:p>
    <w:p>
      <w:pPr>
        <w:spacing w:after="100" w:before="100" w:line="320"/>
        <w:jc w:val="both"/>
      </w:pPr>
      <w:r>
        <w:rPr>
          <w:rFonts w:ascii="Garamond" w:cs="Garamond" w:eastAsia="Garamond" w:hAnsi="Garamond"/>
          <w:sz w:val="22"/>
          <w:szCs w:val="22"/>
        </w:rPr>
        <w:t xml:space="preserve">The reader is therefore invited to regard the present document not as a final specification but as a working reference, by which the deliberations of the assembly may be conducted in an orderly manner. The requirements will be refined in the light of the partners’ contributions, and the consolidated outputs will form the basis of the SUMA build to be undertaken in WP5.</w:t>
      </w:r>
    </w:p>
    <w:p>
      <w:pPr>
        <w:spacing w:after="80" w:before="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6"/>
        <w:szCs w:val="16"/>
      </w:rPr>
      <w:t xml:space="preserve">AntifragiCity  ·  Horizon Europe  ·  Grant Agreement No. 101203052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7"/>
        <w:szCs w:val="17"/>
      </w:rPr>
      <w:t xml:space="preserve">AntifragiCity — Reference of SUMA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1A365D"/>
      <w:sz w:val="30"/>
      <w:szCs w:val="30"/>
    </w:rPr>
  </w:style>
  <w:style w:type="paragraph" w:styleId="Heading2">
    <w:name w:val="Heading 2"/>
    <w:basedOn w:val="Normal"/>
    <w:next w:val="Normal"/>
    <w:qFormat/>
    <w:pPr>
      <w:spacing w:after="140" w:before="320"/>
      <w:outlineLvl w:val="1"/>
    </w:pPr>
    <w:rPr>
      <w:rFonts w:ascii="Garamond" w:cs="Garamond" w:eastAsia="Garamond" w:hAnsi="Garamond"/>
      <w:b/>
      <w:bCs/>
      <w:color w:val="1A365D"/>
      <w:sz w:val="24"/>
      <w:szCs w:val="24"/>
    </w:rPr>
  </w:style>
  <w:style w:type="paragraph" w:styleId="Heading3">
    <w:name w:val="Heading 3"/>
    <w:basedOn w:val="Normal"/>
    <w:next w:val="Normal"/>
    <w:qFormat/>
    <w:pPr>
      <w:spacing w:after="100" w:before="220"/>
      <w:outlineLvl w:val="2"/>
    </w:pPr>
    <w:rPr>
      <w:rFonts w:ascii="Garamond" w:cs="Garamond" w:eastAsia="Garamond" w:hAnsi="Garamond"/>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2026-05-05T11:43:58.254Z</dcterms:created>
  <dcterms:modified xsi:type="dcterms:W3CDTF">2026-05-05T11:43:58.255Z</dcterms:modified>
</cp:coreProperties>
</file>

<file path=docProps/custom.xml><?xml version="1.0" encoding="utf-8"?>
<Properties xmlns="http://schemas.openxmlformats.org/officeDocument/2006/custom-properties" xmlns:vt="http://schemas.openxmlformats.org/officeDocument/2006/docPropsVTypes"/>
</file>