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Reference of </w:t>
      </w:r>
    </w:p>
    <w:p>
      <w:pPr>
        <w:pBdr>
          <w:bottom w:val="single" w:color="1A365D" w:sz="12"/>
        </w:pBdr>
        <w:spacing w:after="0" w:before="0"/>
        <w:jc w:val="center"/>
      </w:pPr>
      <w:r>
        <w:rPr>
          <w:rFonts w:ascii="Garamond" w:cs="Garamond" w:eastAsia="Garamond" w:hAnsi="Garamond"/>
          <w:b/>
          <w:bCs/>
          <w:color w:val="1A365D"/>
          <w:sz w:val="32"/>
          <w:szCs w:val="32"/>
        </w:rPr>
        <w:t xml:space="preserve"> Triage Measures and Social Acceptability </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a partner-facing reference to the candidate triage measures considered within the AntifragiCity project, together with the available evidence concerning their social acceptability. It draws on two principal sources: deliverable D3.3, in which a Failure Mode and Effect Analysis was applied to two hundred and nine disruption events affecting urban mobility, and from which thirty-eight critical risks were identified together with their expert-proposed mitigation measures and antifragility gains; and deliverable D2.2, in which the Citizens’ Forums conducted in Bratislava, Larissa, and Thessaloniki yielded direct evidence of citizen acceptability for a range of antifragile mobility interventions.</w:t>
      </w:r>
    </w:p>
    <w:p>
      <w:pPr>
        <w:spacing w:after="100" w:before="100" w:line="320"/>
        <w:jc w:val="both"/>
      </w:pPr>
      <w:r>
        <w:rPr>
          <w:rFonts w:ascii="Garamond" w:cs="Garamond" w:eastAsia="Garamond" w:hAnsi="Garamond"/>
          <w:sz w:val="22"/>
          <w:szCs w:val="22"/>
        </w:rPr>
        <w:t xml:space="preserve">The document is intended to support Session 7 of the Mini General Assembly, in which the partners will examine the candidate triage measures arising from the use cases agreed in earlier sessions and consider their feasibility against social acceptability evidence. Two strands of evidence are accordingly placed side by side: the expert-derived measures of D3.3, which respond to the technical risks of the system, and the citizen-derived acceptability of D2.2, which records the willingness of the populace to support those measures. The deliberation that follows must reconcile the two.</w:t>
      </w:r>
    </w:p>
    <w:p>
      <w:pPr>
        <w:spacing w:after="100" w:before="100" w:line="320"/>
        <w:jc w:val="both"/>
      </w:pPr>
      <w:r>
        <w:rPr>
          <w:rFonts w:ascii="Garamond" w:cs="Garamond" w:eastAsia="Garamond" w:hAnsi="Garamond"/>
          <w:sz w:val="22"/>
          <w:szCs w:val="22"/>
        </w:rPr>
        <w:t xml:space="preserve">It will be observed that, by the structure of the document, expert and citizen evidence are presented as complementary rather than competing. A measure that is expertly recommended yet poorly accepted is not, on that account, to be discarded; nor is a measure that is widely accepted on that account adequate. The triage decisions of Session 7 must, in the proper sense of the term, weigh both.</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The Five Strategic Directions of D3.3</w:t>
      </w:r>
    </w:p>
    <w:p>
      <w:pPr>
        <w:spacing w:after="100" w:before="100" w:line="320"/>
        <w:jc w:val="both"/>
      </w:pPr>
      <w:r>
        <w:rPr>
          <w:rFonts w:ascii="Garamond" w:cs="Garamond" w:eastAsia="Garamond" w:hAnsi="Garamond"/>
          <w:sz w:val="22"/>
          <w:szCs w:val="22"/>
        </w:rPr>
        <w:t xml:space="preserve">Deliverable D3.3 organises its mitigation measures within five strategic directions, by which the technical and institutional dimensions of antifragile mobility are to be addressed. The directions are summarised below; each provides the framework within which the specific triage measures identified in the FMEA may be situated.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Strategic Direction</w:t>
            </w:r>
          </w:p>
        </w:tc>
        <w:tc>
          <w:tcPr>
            <w:tcW w:type="dxa" w:w="3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Vulnerabilities Addressed</w:t>
            </w:r>
          </w:p>
        </w:tc>
        <w:tc>
          <w:tcPr>
            <w:tcW w:type="dxa" w:w="33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Antifragility Gain</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Strengthening Digital Infrastructure Resilience</w:t>
            </w:r>
          </w:p>
        </w:tc>
        <w:tc>
          <w:tcPr>
            <w:tcW w:type="dxa" w:w="3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Failures of ITS systems, sensor networks, traffic management platforms, cyber vulnerabilities, and unreliable data streams.</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Improved system robustness and reduced cascading disruptions through resilient digital infrastructure.</w:t>
            </w:r>
          </w:p>
        </w:tc>
      </w:tr>
      <w:tr>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Enhancing System Monitoring and Early Detection</w:t>
            </w:r>
          </w:p>
        </w:tc>
        <w:tc>
          <w:tcPr>
            <w:tcW w:type="dxa" w:w="3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Limited incident detection, delayed response to disruptions, insufficient monitoring of infrastructure and traffic conditions.</w:t>
            </w:r>
          </w:p>
        </w:tc>
        <w:tc>
          <w:tcPr>
            <w:tcW w:type="dxa" w:w="3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Faster disruption detection and improved preventive response capacity.</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Improving Inter-Modal Coordination Mechanisms</w:t>
            </w:r>
          </w:p>
        </w:tc>
        <w:tc>
          <w:tcPr>
            <w:tcW w:type="dxa" w:w="3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Fragmented coordination among operators, limited integration between modes, inefficient multi-modal management.</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Increased system flexibility and capacity to redistribute mobility demand during disruptions.</w:t>
            </w:r>
          </w:p>
        </w:tc>
      </w:tr>
      <w:tr>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Strengthening System Recovery Capacity</w:t>
            </w:r>
          </w:p>
        </w:tc>
        <w:tc>
          <w:tcPr>
            <w:tcW w:type="dxa" w:w="3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Slow recovery after disruptions, limited redundancy in critical infrastructure, insufficient emergency-response coordination.</w:t>
            </w:r>
          </w:p>
        </w:tc>
        <w:tc>
          <w:tcPr>
            <w:tcW w:type="dxa" w:w="3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Reduced recovery time and improved restoration of mobility services after disruptions.</w:t>
            </w:r>
          </w:p>
        </w:tc>
      </w:tr>
      <w:tr>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Supporting Adaptive and Antifragile Mobility Systems</w:t>
            </w:r>
          </w:p>
        </w:tc>
        <w:tc>
          <w:tcPr>
            <w:tcW w:type="dxa" w:w="3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Structural system fragility, limited institutional learning mechanisms, insufficient capacity to adapt to emerging disruptions.</w:t>
            </w:r>
          </w:p>
        </w:tc>
        <w:tc>
          <w:tcPr>
            <w:tcW w:type="dxa" w:w="3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Continuous system improvement through learning, adaptation, and resilience-oriented planning.</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strategic directions are not mutually exclusive. A specific measure such as the establishment of priority corridors for emergency services may, for instance, advance both the second direction (early detection and response) and the fourth (system recovery capacity). The partners are invited to recognise this overlap when situating their own pilot interventions within the framework.</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  The Top Twenty Triage Measures (Critical Risks)</w:t>
      </w:r>
    </w:p>
    <w:p>
      <w:pPr>
        <w:spacing w:after="100" w:before="100" w:line="320"/>
        <w:jc w:val="both"/>
      </w:pPr>
      <w:r>
        <w:rPr>
          <w:rFonts w:ascii="Garamond" w:cs="Garamond" w:eastAsia="Garamond" w:hAnsi="Garamond"/>
          <w:sz w:val="22"/>
          <w:szCs w:val="22"/>
        </w:rPr>
        <w:t xml:space="preserve">From the two hundred and nine risks examined in D3.3, thirty-eight were identified as critical by the application of three concurrent thresholds: a Risk Priority Number above two hundred, a Cascading Potential Index above five, and a Recovery Difficulty above five. The twenty highest-ranked of these are presented below, together with their expert-proposed mitigation measure and the antifragility gain that the measure is expected to deliver. The full set of thirty-eight critical risks is given in the appendix to D3.3.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100"/>
        <w:gridCol w:w="3160"/>
        <w:gridCol w:w="2700"/>
      </w:tblGrid>
      <w:tr>
        <w:trPr>
          <w:tblHeader/>
        </w:trPr>
        <w:tc>
          <w:tcPr>
            <w:tcW w:type="dxa" w:w="6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w:t>
            </w:r>
          </w:p>
        </w:tc>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Risk</w:t>
            </w:r>
          </w:p>
        </w:tc>
        <w:tc>
          <w:tcPr>
            <w:tcW w:type="dxa" w:w="2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Disruption</w:t>
            </w:r>
          </w:p>
        </w:tc>
        <w:tc>
          <w:tcPr>
            <w:tcW w:type="dxa" w:w="31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Triage Measure</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Antifragility Gain</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Terrorism attack</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Asset hardening; surveillance; multi-agency security coordination.</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Multi-agency intelligence sharing; rapid network reconfiguration.</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2</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R6</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Compound shocks (e.g., heatwave + power outage + ITS failure)</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Cross-sector scenario planning; redundancy; stress-tested coordination.</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Cross-sector stress testing improves capacity to absorb cascading failures.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3</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R7</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Concurrent summer hazards (extreme heat, wildfire) overwhelming response</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Multi-hazard operations planning; cooling and resilience hubs; integrated heat and air-quality alerts.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Integrated climate-mobility risk management; anticipatory governance.</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4</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R2</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Cyberattack on mobility systems</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Network segmentation; patching; backups; security operations centre monitoring.</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Cybersecurity-by-design; redundancy; offline operational modes.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5</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R42</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Damage or failure of road network</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Pre-planned alternative routes; rapid-repair contracts.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Modular design; rapid repair with alternative routing.</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6</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R4</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Extreme weather exceeding system design limits</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Climate stress-testing; adaptive operations.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Climate-adaptive infrastructure design; long-term robustness.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7</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R52</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Mass evacuation due to wildland-urban interface fires</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Geographically phased evacuation supported by early warning.</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Anticipatory evacuation staging; adaptive access control.</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8</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R36</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Lack of triage during evacuation</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Clear triage protocols; trained response teams.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Priority-based triage and evacuation decision-support tools.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9</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R31</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Pandemic-related disruption to mobility</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Flexible operations; scalable services; health-safe protocols.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Institutionalised flexible services; health-aware demand management.</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10</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R35</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Chaotic mass evacuation</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Scenario-based modelling; phased evacuation planning.</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Increased emergency readiness; phased adaptive evacuation.</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11</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R16</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Network disruptions blocking access to critical infrastructure</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Priority corridors; network redundancy.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Protected corridors ensure continuity of emergency and critical services.</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12</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R3</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Power outage affecting mobility infrastructure</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Backup power; UPS; generators; decentralised energy.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Microgrids and backup power for critical mobility assets.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13</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R21</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Evacuation routes not cleared in time</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Priority clearance; pre-assigned teams; real-time monitoring.</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Improved pre-clearance; asset pre-positioning; real-time monitoring.</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14</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R11</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Failure of evacuation protocol applications</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Pre-defined alternative routes and gathering points; clear activation procedures.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Tested protocols; digital support; pre-planned alternatives.</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15</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R13</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System learning reinforces inequities</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Fairness audits; bias controls.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Equity audits and fairness constraints in learning systems.</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16</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R14</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Optimisation finds local optima; system becomes fragile</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Robust optimisation; stress-testing; oversight.</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Multi-objective exploratory optimisation reduces fragility.</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17</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R66</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Healthcare evacuation blocked</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Medical priority corridors; coordination protocols.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Protected medical corridors and coordinated response.</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18</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R20</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Real-time evacuation prioritises higher-access areas</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Equity-based evacuation planning; transparent allocation criteria.</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Equity metrics and participatory review embedded in planning.</w:t>
            </w:r>
          </w:p>
        </w:tc>
      </w:tr>
      <w:tr>
        <w:tc>
          <w:tcPr>
            <w:tcW w:type="dxa" w:w="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19</w:t>
            </w:r>
          </w:p>
        </w:tc>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R19</w:t>
            </w:r>
          </w:p>
        </w:tc>
        <w:tc>
          <w:tcPr>
            <w:tcW w:type="dxa" w:w="2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Major road accident</w:t>
            </w:r>
          </w:p>
        </w:tc>
        <w:tc>
          <w:tcPr>
            <w:tcW w:type="dxa" w:w="3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Vision Zero road redesign; rapid incident response; secondary-crash prevention.</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Faster detection and clearance; post-event learning.</w:t>
            </w:r>
          </w:p>
        </w:tc>
      </w:tr>
      <w:tr>
        <w:tc>
          <w:tcPr>
            <w:tcW w:type="dxa" w:w="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8"/>
                <w:szCs w:val="18"/>
              </w:rPr>
              <w:t xml:space="preserve">20</w:t>
            </w:r>
          </w:p>
        </w:tc>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8"/>
                <w:szCs w:val="18"/>
              </w:rPr>
              <w:t xml:space="preserve">R23</w:t>
            </w:r>
          </w:p>
        </w:tc>
        <w:tc>
          <w:tcPr>
            <w:tcW w:type="dxa" w:w="2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Extreme rainfall causing multi-district urban flooding</w:t>
            </w:r>
          </w:p>
        </w:tc>
        <w:tc>
          <w:tcPr>
            <w:tcW w:type="dxa" w:w="3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Blue-green drainage; protected underpasses; flood sensors and early warnings; pre-defined diversion routes; PT contingency.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Flood-resilient corridors; adaptive infrastructure; emergency traffic playbooks.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reader will observe that the upper ranks are dominated by systemic and compound disruptions — terrorism, cyberattack, compound climate shocks, network failure, mass evacuation — the criticality of which arises not from the severity of any single failure mode but from the cascading consequences across multiple subsystems. The mitigation measures correspondingly emphasise redundancy, scenario-based planning, multi-agency coordination, and equity-aware design. This is consistent with the project’s antifragility orientation, in which the response to disruption is not merely restoration but improvement.</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III.  Citizens’ Acceptability of Antifragile Measures</w:t>
      </w:r>
    </w:p>
    <w:p>
      <w:pPr>
        <w:spacing w:after="100" w:before="100" w:line="320"/>
        <w:jc w:val="both"/>
      </w:pPr>
      <w:r>
        <w:rPr>
          <w:rFonts w:ascii="Garamond" w:cs="Garamond" w:eastAsia="Garamond" w:hAnsi="Garamond"/>
          <w:sz w:val="22"/>
          <w:szCs w:val="22"/>
        </w:rPr>
        <w:t xml:space="preserve">Deliverable D2.2 conducted two-day Citizens’ Forums in three of the four pilot cities during January and February 2026. Participants were invited, both before and after the deliberative exercise, to indicate which antifragile mobility measures they would support. The proportions are reproduced below for the eleven measures investigated, drawn from the post-deliberation surveys.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100"/>
        <w:gridCol w:w="1200"/>
        <w:gridCol w:w="1500"/>
        <w:gridCol w:w="1400"/>
      </w:tblGrid>
      <w:tr>
        <w:trPr>
          <w:tblHeader/>
        </w:trPr>
        <w:tc>
          <w:tcPr>
            <w:tcW w:type="dxa" w:w="30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Antifragile measure</w:t>
            </w:r>
          </w:p>
        </w:tc>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Bratislava</w:t>
            </w:r>
          </w:p>
        </w:tc>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Larissa</w:t>
            </w:r>
          </w:p>
        </w:tc>
        <w:tc>
          <w:tcPr>
            <w:tcW w:type="dxa" w:w="1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Thessaloniki</w:t>
            </w:r>
          </w:p>
        </w:tc>
        <w:tc>
          <w:tcPr>
            <w:tcW w:type="dxa" w:w="15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Odesa</w:t>
            </w:r>
          </w:p>
        </w:tc>
        <w:tc>
          <w:tcPr>
            <w:tcW w:type="dxa" w:w="1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AHEPA</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Better public transport (frequency, coverage, reliability)</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65%</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High*</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91%</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Timeliness 95%†</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Aligned</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Better active mobility infrastructure (bike lanes, sidewalks)</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53%</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High*</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27%</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Aligned</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Greater share of greenery in streets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53%</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High*</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27%</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Digital traffic management</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50%</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Medium*</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45%</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Field surveys + video; fragmentary</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Living Lab data</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Restrictions on cars in dense areas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41%</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Medium*</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64%</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High</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Pedestrian zones</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38%</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Medium*</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27%</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30 km/h speed zones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38%</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Medium*</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18%</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Reduced parking supply</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29%</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Low*</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Shared streets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26%</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Low*</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9%</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Congestion charging</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18%</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Low*</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9%</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Shared mobility services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9%</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Low*</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9%</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r>
        <w:tc>
          <w:tcPr>
            <w:tcW w:type="dxa" w:w="30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Shared bus and emergency-vehicle lanes</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Under design by city</w:t>
            </w:r>
          </w:p>
        </w:tc>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Aligned</w:t>
            </w:r>
          </w:p>
        </w:tc>
      </w:tr>
      <w:tr>
        <w:tc>
          <w:tcPr>
            <w:tcW w:type="dxa" w:w="30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Environmental benefit / fuel saving as primary criterion</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17"/>
                <w:szCs w:val="17"/>
              </w:rPr>
              <w:t xml:space="preserve">—</w:t>
            </w:r>
          </w:p>
        </w:tc>
        <w:tc>
          <w:tcPr>
            <w:tcW w:type="dxa" w:w="1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Env. 87%; fuel 72%†</w:t>
            </w:r>
          </w:p>
        </w:tc>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iCs/>
                <w:color w:val="555555"/>
                <w:sz w:val="17"/>
                <w:szCs w:val="17"/>
              </w:rPr>
              <w:t xml:space="preserve">—</w:t>
            </w:r>
          </w:p>
        </w:tc>
      </w:tr>
    </w:tbl>
    <w:p>
      <w:pPr>
        <w:spacing w:after="80" w:before="80"/>
      </w:pPr>
      <w:r>
        <w:t xml:space="preserve"/>
      </w:r>
    </w:p>
    <w:p>
      <w:pPr>
        <w:spacing w:after="100" w:before="100" w:line="320"/>
        <w:jc w:val="both"/>
      </w:pPr>
      <w:r>
        <w:rPr>
          <w:rFonts w:ascii="Garamond" w:cs="Garamond" w:eastAsia="Garamond" w:hAnsi="Garamond"/>
          <w:i/>
          <w:iCs/>
          <w:sz w:val="22"/>
          <w:szCs w:val="22"/>
        </w:rPr>
        <w:t xml:space="preserve">A note on the Odesa column. </w:t>
      </w:r>
      <w:r>
        <w:rPr>
          <w:rFonts w:ascii="Garamond" w:cs="Garamond" w:eastAsia="Garamond" w:hAnsi="Garamond"/>
          <w:sz w:val="22"/>
          <w:szCs w:val="22"/>
        </w:rPr>
        <w:t xml:space="preserve">The Citizens’ Forum of D2.2 was suspended at Odesa owing to the security situation prevailing in Ukraine and the consequent risks to participants. To compensate, recourse has been had to the work of Myronenko and colleagues (Smart Cities, 2023, vol. 6, pp. 1398–1415), in which a comprehensive survey of public-transport users in Odesa identified timeliness as the principal characteristic influencing satisfaction (95 per cent of respondents), followed by environmental benefit (87 per cent) and fuel saving (72 per cent). The findings reported here, marked with a dagger (†), are drawn from that paper. The Department of Transport of the Odesa City Council has additionally indicated, in its recent feedback to the consortium, that schemes for shared bus-and-emergency-vehicle lanes are presently under design; this measure is added to the table as an Odesa-specific entry that does not figure in the D2.2 catalogue.</w:t>
      </w:r>
    </w:p>
    <w:p>
      <w:pPr>
        <w:spacing w:after="80" w:before="80"/>
      </w:pPr>
      <w:r>
        <w:t xml:space="preserve"/>
      </w:r>
    </w:p>
    <w:p>
      <w:pPr>
        <w:spacing w:after="100" w:before="100" w:line="320"/>
        <w:jc w:val="both"/>
      </w:pPr>
      <w:r>
        <w:rPr>
          <w:rFonts w:ascii="Garamond" w:cs="Garamond" w:eastAsia="Garamond" w:hAnsi="Garamond"/>
          <w:i/>
          <w:iCs/>
          <w:sz w:val="22"/>
          <w:szCs w:val="22"/>
        </w:rPr>
        <w:t xml:space="preserve">A note on the AHEPA column. </w:t>
      </w:r>
      <w:r>
        <w:rPr>
          <w:rFonts w:ascii="Garamond" w:cs="Garamond" w:eastAsia="Garamond" w:hAnsi="Garamond"/>
          <w:sz w:val="22"/>
          <w:szCs w:val="22"/>
        </w:rPr>
        <w:t xml:space="preserve">The AHEPA pilot, being centred upon hospital access rather than upon a general population of residents, requires its own approach to acceptability: the relevant constituencies are the hospital staff, the patients, the visitors, and the emergency responders, each of whom is invited to indicate which measures they would support during the breakout. The local partner has confirmed that AHEPA Hospital is the specific location that the consortium wishes to protect from severe congestion, and that the Smart Mobility Living Lab provides the data infrastructure upon which a tailored consultation may be founded. Indicative entries in the table reflect the alignment of the consortium’s interventions with this orientation.</w:t>
      </w:r>
    </w:p>
    <w:p>
      <w:pPr>
        <w:spacing w:after="80" w:before="80"/>
      </w:pPr>
      <w:r>
        <w:t xml:space="preserve"/>
      </w:r>
    </w:p>
    <w:p>
      <w:pPr>
        <w:spacing w:after="100" w:before="100" w:line="320"/>
        <w:jc w:val="both"/>
      </w:pPr>
      <w:r>
        <w:rPr>
          <w:rFonts w:ascii="Garamond" w:cs="Garamond" w:eastAsia="Garamond" w:hAnsi="Garamond"/>
          <w:i/>
          <w:iCs/>
          <w:sz w:val="22"/>
          <w:szCs w:val="22"/>
        </w:rPr>
        <w:t xml:space="preserve">Note on Larissa. </w:t>
      </w:r>
      <w:r>
        <w:rPr>
          <w:rFonts w:ascii="Garamond" w:cs="Garamond" w:eastAsia="Garamond" w:hAnsi="Garamond"/>
          <w:sz w:val="22"/>
          <w:szCs w:val="22"/>
        </w:rPr>
        <w:t xml:space="preserve">The Larissa figures are recorded in D2.2 in qualitative form (“high”, “medium”, “low” acceptability) rather than in numerical proportions. The asterisks in the table indicate this distinction.</w:t>
      </w:r>
    </w:p>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Synthesis of acceptability findings</w:t>
      </w:r>
    </w:p>
    <w:p>
      <w:pPr>
        <w:spacing w:after="100" w:before="100" w:line="320"/>
        <w:jc w:val="both"/>
      </w:pPr>
      <w:r>
        <w:rPr>
          <w:rFonts w:ascii="Garamond" w:cs="Garamond" w:eastAsia="Garamond" w:hAnsi="Garamond"/>
          <w:sz w:val="22"/>
          <w:szCs w:val="22"/>
        </w:rPr>
        <w:t xml:space="preserve">Three observations emerge from the comparison across pilots. The first is the strongly shared support for improvements to public transport, which appears as the most popular antifragile measure in every site for which evidence is available; this is consistent with the literature on European urban mobility, in which improved public-transport service quality is regularly the most acceptable form of intervention. The second is the divergence on car-restriction measures: Thessaloniki participants supported these at a noticeably higher rate than Bratislava participants, reflecting the contrast between a Mediterranean city already facing severe congestion and a central European capital with a still-growing motorisation rate. The third is the consistently low support, across all sites, for congestion charging and shared mobility — a finding that should temper expectations for measures of this kind in the pilot deployments.</w:t>
      </w:r>
    </w:p>
    <w:p>
      <w:pPr>
        <w:spacing w:after="100" w:before="100" w:line="320"/>
        <w:jc w:val="both"/>
      </w:pPr>
      <w:r>
        <w:rPr>
          <w:rFonts w:ascii="Garamond" w:cs="Garamond" w:eastAsia="Garamond" w:hAnsi="Garamond"/>
          <w:sz w:val="22"/>
          <w:szCs w:val="22"/>
        </w:rPr>
        <w:t xml:space="preserve">The partners are invited to read these findings not as a judgement on the technical merits of any measure but as evidence of the political and institutional terrain upon which the measures must be implemented. A measure that is correct on technical grounds but unsupported by the populace will, in practice, fail; a measure that is supported by the populace but inadequate to the technical risk will, equally, fail. Triage in the proper sense — that is, the prioritisation of measures under conditions of constraint — must therefore be exercised over both dimensions at once.</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IV.  Reconciling Expert Evidence and Citizen Evidence</w:t>
      </w:r>
    </w:p>
    <w:p>
      <w:pPr>
        <w:spacing w:after="100" w:before="100" w:line="320"/>
        <w:jc w:val="both"/>
      </w:pPr>
      <w:r>
        <w:rPr>
          <w:rFonts w:ascii="Garamond" w:cs="Garamond" w:eastAsia="Garamond" w:hAnsi="Garamond"/>
          <w:sz w:val="22"/>
          <w:szCs w:val="22"/>
        </w:rPr>
        <w:t xml:space="preserve">In the deliberations of Session 7, each pilot table is invited to consider its proposed triage measures along two axes: the technical priority indicated by D3.3 (the rank in the critical-risk table, or the strategic direction to which the measure belongs), and the social acceptability indicated by D2.2 (the proportion of citizens who would support the measure, or, where this is not available, a reasoned local assessment). The four quadrants thus defined permit a structured triage:</w:t>
      </w:r>
    </w:p>
    <w:p>
      <w:pPr>
        <w:spacing w:after="80" w:before="80"/>
      </w:pPr>
      <w:r>
        <w:t xml:space="preserve"/>
      </w:r>
    </w:p>
    <w:p>
      <w:pPr>
        <w:spacing w:after="100" w:before="100" w:line="320"/>
        <w:jc w:val="both"/>
      </w:pPr>
      <w:r>
        <w:rPr>
          <w:rFonts w:ascii="Garamond" w:cs="Garamond" w:eastAsia="Garamond" w:hAnsi="Garamond"/>
          <w:b/>
          <w:bCs/>
          <w:sz w:val="22"/>
          <w:szCs w:val="22"/>
        </w:rPr>
        <w:t xml:space="preserve">Quadrant 1 — </w:t>
      </w:r>
      <w:r>
        <w:rPr>
          <w:rFonts w:ascii="Garamond" w:cs="Garamond" w:eastAsia="Garamond" w:hAnsi="Garamond"/>
          <w:sz w:val="22"/>
          <w:szCs w:val="22"/>
        </w:rPr>
        <w:t xml:space="preserve">high technical priority and high acceptability: the measure is to be retained without reservation, and may be advanced as a flagship intervention.</w:t>
      </w:r>
    </w:p>
    <w:p>
      <w:pPr>
        <w:spacing w:after="100" w:before="100" w:line="320"/>
        <w:jc w:val="both"/>
      </w:pPr>
      <w:r>
        <w:rPr>
          <w:rFonts w:ascii="Garamond" w:cs="Garamond" w:eastAsia="Garamond" w:hAnsi="Garamond"/>
          <w:b/>
          <w:bCs/>
          <w:sz w:val="22"/>
          <w:szCs w:val="22"/>
        </w:rPr>
        <w:t xml:space="preserve">Quadrant 2 — </w:t>
      </w:r>
      <w:r>
        <w:rPr>
          <w:rFonts w:ascii="Garamond" w:cs="Garamond" w:eastAsia="Garamond" w:hAnsi="Garamond"/>
          <w:sz w:val="22"/>
          <w:szCs w:val="22"/>
        </w:rPr>
        <w:t xml:space="preserve">high technical priority but low acceptability: the measure is to be retained but accompanied by a deliberate effort of communication, deliberation, and design adjustment to address the sources of resistance. It is here that the lessons of D2.2 on participatory engagement are most pertinent.</w:t>
      </w:r>
    </w:p>
    <w:p>
      <w:pPr>
        <w:spacing w:after="100" w:before="100" w:line="320"/>
        <w:jc w:val="both"/>
      </w:pPr>
      <w:r>
        <w:rPr>
          <w:rFonts w:ascii="Garamond" w:cs="Garamond" w:eastAsia="Garamond" w:hAnsi="Garamond"/>
          <w:b/>
          <w:bCs/>
          <w:sz w:val="22"/>
          <w:szCs w:val="22"/>
        </w:rPr>
        <w:t xml:space="preserve">Quadrant 3 — </w:t>
      </w:r>
      <w:r>
        <w:rPr>
          <w:rFonts w:ascii="Garamond" w:cs="Garamond" w:eastAsia="Garamond" w:hAnsi="Garamond"/>
          <w:sz w:val="22"/>
          <w:szCs w:val="22"/>
        </w:rPr>
        <w:t xml:space="preserve">low technical priority but high acceptability: the measure may be retained as a supplementary intervention, particularly where it builds the trust and engagement upon which the more difficult measures of Quadrant 2 will depend.</w:t>
      </w:r>
    </w:p>
    <w:p>
      <w:pPr>
        <w:spacing w:after="100" w:before="100" w:line="320"/>
        <w:jc w:val="both"/>
      </w:pPr>
      <w:r>
        <w:rPr>
          <w:rFonts w:ascii="Garamond" w:cs="Garamond" w:eastAsia="Garamond" w:hAnsi="Garamond"/>
          <w:b/>
          <w:bCs/>
          <w:sz w:val="22"/>
          <w:szCs w:val="22"/>
        </w:rPr>
        <w:t xml:space="preserve">Quadrant 4 — </w:t>
      </w:r>
      <w:r>
        <w:rPr>
          <w:rFonts w:ascii="Garamond" w:cs="Garamond" w:eastAsia="Garamond" w:hAnsi="Garamond"/>
          <w:sz w:val="22"/>
          <w:szCs w:val="22"/>
        </w:rPr>
        <w:t xml:space="preserve">low technical priority and low acceptability: the measure is to be set aside in favour of more pressing or more acceptable interventions.</w:t>
      </w:r>
    </w:p>
    <w:p>
      <w:pPr>
        <w:spacing w:after="80" w:before="80"/>
      </w:pPr>
      <w:r>
        <w:t xml:space="preserve"/>
      </w:r>
    </w:p>
    <w:p>
      <w:pPr>
        <w:spacing w:after="100" w:before="100" w:line="320"/>
        <w:jc w:val="both"/>
      </w:pPr>
      <w:r>
        <w:rPr>
          <w:rFonts w:ascii="Garamond" w:cs="Garamond" w:eastAsia="Garamond" w:hAnsi="Garamond"/>
          <w:sz w:val="22"/>
          <w:szCs w:val="22"/>
        </w:rPr>
        <w:t xml:space="preserve">It will be observed that this scheme makes no presumption that expert and citizen judgement coincide. Where they diverge, the deliberation is the more demanding; but it is precisely such deliberation that is the proper subject of Session 7.</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V.  Working Table for the Pilot Demonstrators</w:t>
      </w:r>
    </w:p>
    <w:p>
      <w:pPr>
        <w:spacing w:after="100" w:before="100" w:line="320"/>
        <w:jc w:val="both"/>
      </w:pPr>
      <w:r>
        <w:rPr>
          <w:rFonts w:ascii="Garamond" w:cs="Garamond" w:eastAsia="Garamond" w:hAnsi="Garamond"/>
          <w:sz w:val="22"/>
          <w:szCs w:val="22"/>
        </w:rPr>
        <w:t xml:space="preserve">The table below is offered to support the deliberations of Session 7. Each pilot table may indicate, against each of the top twenty triage measures, whether the measure is to be retained for its pilot, refined for local conditions, or set aside. The four pilots are presented in separate columns, since each operates in a distinct context: the daily and mid-scale stressors of Bratislava, the riverside flooding of Larissa, the conflict-shaped infrastructure of Odesa, and the hospital-access focus of AHEPA. Annotations and proposals for additional measures may be entered in the margins or on a separate sheet for the consolidation that follows in the plenary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1100"/>
        <w:gridCol w:w="1100"/>
        <w:gridCol w:w="1080"/>
        <w:gridCol w:w="980"/>
      </w:tblGrid>
      <w:tr>
        <w:trPr>
          <w:tblHeader/>
        </w:trPr>
        <w:tc>
          <w:tcPr>
            <w:tcW w:type="dxa" w:w="5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w:t>
            </w:r>
          </w:p>
        </w:tc>
        <w:tc>
          <w:tcPr>
            <w:tcW w:type="dxa" w:w="23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Measure</w:t>
            </w:r>
          </w:p>
        </w:tc>
        <w:tc>
          <w:tcPr>
            <w:tcW w:type="dxa" w:w="23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Type</w:t>
            </w:r>
          </w:p>
        </w:tc>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Bratislava</w:t>
            </w:r>
          </w:p>
        </w:tc>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Larissa</w:t>
            </w:r>
          </w:p>
        </w:tc>
        <w:tc>
          <w:tcPr>
            <w:tcW w:type="dxa" w:w="10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Odesa</w:t>
            </w:r>
          </w:p>
        </w:tc>
        <w:tc>
          <w:tcPr>
            <w:tcW w:type="dxa" w:w="9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AHEPA</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Terrorism attack</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Asset hardening</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Compound shocks (e.g.</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Cross-sector scenario planning</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Concurrent summer hazards (extreme heat</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Multi-hazard operations planning</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Cyberattack on mobility systems</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Network segmentation</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Damage or failure of road network</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Pre-planned alternative routes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Extreme weather exceeding system design limits</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Climate stress-testing</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Mass evacuation due to wildland-urban interface fires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Geographically phased evacuation supported by early war</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Lack of triage during evacuation</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Clear triage protocols</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Pandemic-related disruption to mobility</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Flexible operations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Chaotic mass evacuation</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Scenario-based modelling</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Network disruptions blocking access to critical infrast</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Priority corridors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Power outage affecting mobility infrastructure</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Backup power</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Evacuation routes not cleared in time</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Priority clearance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Failure of evacuation protocol applications</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Pre-defined alternative routes and gathering points</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System learning reinforces inequities</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Fairness audits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Optimisation finds local optima</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Robust optimisation</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Healthcare evacuation blocked</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Medical priority corridors</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Real-time evacuation prioritises higher-access areas</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Equity-based evacuation planning</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Major road accident</w:t>
            </w:r>
          </w:p>
        </w:tc>
        <w:tc>
          <w:tcPr>
            <w:tcW w:type="dxa" w:w="2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Vision Zero road redesign</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5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20</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7"/>
                <w:szCs w:val="17"/>
              </w:rPr>
              <w:t xml:space="preserve">Extreme rainfall causing multi-district urban flooding</w:t>
            </w:r>
          </w:p>
        </w:tc>
        <w:tc>
          <w:tcPr>
            <w:tcW w:type="dxa" w:w="2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Blue-green drainage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0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9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is suggested that the convention proposed for use be the following: a tick (✓) for retention as drafted, the letter R for refinement, and a dash (—) for setting aside. Newly proposed measures may be assigned a provisional identifier and recorded with a short description and a note of the risks they address, for development in the subsequent sessions.</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VI.  Subsequent Steps</w:t>
      </w:r>
    </w:p>
    <w:p>
      <w:pPr>
        <w:spacing w:after="100" w:before="100" w:line="320"/>
        <w:jc w:val="both"/>
      </w:pPr>
      <w:r>
        <w:rPr>
          <w:rFonts w:ascii="Garamond" w:cs="Garamond" w:eastAsia="Garamond" w:hAnsi="Garamond"/>
          <w:sz w:val="22"/>
          <w:szCs w:val="22"/>
        </w:rPr>
        <w:t xml:space="preserve">The triage measures retained in Session 7 will, together with the use cases of Session 1, the requirements of Session 2, the data structures of Session 3, and the indicators of Session 4, constitute the substance of the SUMA prototype mock-up to be assembled at the close of the assembly. They will inform, in particular, the design of the response-action layer of the system: the catalogue of interventions that SUMA must be capable of recommending, simulating, and evaluating in the face of the disruptions for which it is intended.</w:t>
      </w:r>
    </w:p>
    <w:p>
      <w:pPr>
        <w:spacing w:after="100" w:before="100" w:line="320"/>
        <w:jc w:val="both"/>
      </w:pPr>
      <w:r>
        <w:rPr>
          <w:rFonts w:ascii="Garamond" w:cs="Garamond" w:eastAsia="Garamond" w:hAnsi="Garamond"/>
          <w:sz w:val="22"/>
          <w:szCs w:val="22"/>
        </w:rPr>
        <w:t xml:space="preserve">The measures retained will further inform the work of subsequent deliverables, in particular D3.5 (the triage handbook, presently in preparation) and the WP6 engagement activities that will accompany pilot deployment. The acceptability evidence here presented should, in due course, be supplemented by additional consultation as the pilot interventions are refined and made concrete.</w:t>
      </w:r>
    </w:p>
    <w:p>
      <w:pPr>
        <w:spacing w:after="100" w:before="100" w:line="320"/>
        <w:jc w:val="both"/>
      </w:pPr>
      <w:r>
        <w:rPr>
          <w:rFonts w:ascii="Garamond" w:cs="Garamond" w:eastAsia="Garamond" w:hAnsi="Garamond"/>
          <w:sz w:val="22"/>
          <w:szCs w:val="22"/>
        </w:rPr>
        <w:t xml:space="preserve">The partners are therefore invited to consider, in advance of the assembly, the candidate measures and the acceptability evidence here set out, to refer them against the conditions prevailing in their own pilot, and to come prepared with such observations as they may wish to contribute. The reconciliation of expert and citizen evidence is, by its nature, a matter for collective deliberation; the present document is offered as a starting point for that exercise.</w:t>
      </w:r>
    </w:p>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Reference of Triage Measures and Social Acceptability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2026-05-05T13:52:13.505Z</dcterms:created>
  <dcterms:modified xsi:type="dcterms:W3CDTF">2026-05-05T13:52:13.505Z</dcterms:modified>
</cp:coreProperties>
</file>

<file path=docProps/custom.xml><?xml version="1.0" encoding="utf-8"?>
<Properties xmlns="http://schemas.openxmlformats.org/officeDocument/2006/custom-properties" xmlns:vt="http://schemas.openxmlformats.org/officeDocument/2006/docPropsVTypes"/>
</file>