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Shortlist of </w:t>
      </w:r>
    </w:p>
    <w:p>
      <w:pPr>
        <w:pBdr>
          <w:bottom w:val="single" w:color="1A365D" w:sz="12"/>
        </w:pBdr>
        <w:spacing w:after="0" w:before="0"/>
        <w:jc w:val="center"/>
      </w:pPr>
      <w:r>
        <w:rPr>
          <w:rFonts w:ascii="Garamond" w:cs="Garamond" w:eastAsia="Garamond" w:hAnsi="Garamond"/>
          <w:b/>
          <w:bCs/>
          <w:color w:val="1A365D"/>
          <w:sz w:val="36"/>
          <w:szCs w:val="36"/>
        </w:rPr>
        <w:t xml:space="preserve"> Candidate Use Cases </w:t>
      </w:r>
    </w:p>
    <w:p>
      <w:pPr>
        <w:spacing w:after="0" w:before="400"/>
        <w:jc w:val="center"/>
      </w:pPr>
      <w:r>
        <w:rPr>
          <w:rFonts w:ascii="Garamond" w:cs="Garamond" w:eastAsia="Garamond" w:hAnsi="Garamond"/>
          <w:color w:val="1A365D"/>
          <w:sz w:val="26"/>
          <w:szCs w:val="26"/>
        </w:rPr>
        <w:t xml:space="preserve">for the Four Pilot Demonstrators</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for the consideration of the partners, a shortlist of candidate use cases for each of the four pilot demonstrators of the AntifragiCity project, namely Bratislava, Larissa, Odesa, and AHEPA. The candidates are drawn from the disruption taxonomy and the urban event catalogue presented in deliverable D2.1, and have been refined in the light of the recent feedback received from each pilot in response to the request for information on origin–destination matrices and on local mobility conditions. They are accordingly tailored, in their detail, to the streets, districts, and hazards that the pilots themselves have identified as most pertinent.</w:t>
      </w:r>
    </w:p>
    <w:p>
      <w:pPr>
        <w:spacing w:after="100" w:before="100" w:line="320"/>
        <w:jc w:val="both"/>
      </w:pPr>
      <w:r>
        <w:rPr>
          <w:rFonts w:ascii="Garamond" w:cs="Garamond" w:eastAsia="Garamond" w:hAnsi="Garamond"/>
          <w:sz w:val="22"/>
          <w:szCs w:val="22"/>
        </w:rPr>
        <w:t xml:space="preserve">The intention is not to settle the use cases in advance of the deliberations of the Mini General Assembly, but rather to provide each pilot table with material upon which to react. The partners may, in Session 1, retain a candidate as drafted, refine it in the light of their local knowledge, set it aside in favour of a different scenario, or propose entirely new cases. The shortlist is therefore offered as a working reference, in keeping with the charrette format adopted for the assembly.</w:t>
      </w:r>
    </w:p>
    <w:p>
      <w:pPr>
        <w:spacing w:after="100" w:before="100" w:line="320"/>
        <w:jc w:val="both"/>
      </w:pPr>
      <w:r>
        <w:rPr>
          <w:rFonts w:ascii="Garamond" w:cs="Garamond" w:eastAsia="Garamond" w:hAnsi="Garamond"/>
          <w:sz w:val="22"/>
          <w:szCs w:val="22"/>
        </w:rPr>
        <w:t xml:space="preserve">To the candidate use cases is prefixed a short reminder of the disruption taxonomy of D2.1, the conventions for use-case description, and a worked example. To them is appended a working table for Session 1, in which each pilot may record its decisions, and a brief account of the steps that follow.</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The Disruption Taxonomy in Brief</w:t>
      </w:r>
    </w:p>
    <w:p>
      <w:pPr>
        <w:spacing w:after="100" w:before="100" w:line="320"/>
        <w:jc w:val="both"/>
      </w:pPr>
      <w:r>
        <w:rPr>
          <w:rFonts w:ascii="Garamond" w:cs="Garamond" w:eastAsia="Garamond" w:hAnsi="Garamond"/>
          <w:sz w:val="22"/>
          <w:szCs w:val="22"/>
        </w:rPr>
        <w:t xml:space="preserve">Deliverable D2.1 establishes a two-axis taxonomy by which urban disruptions are classified. The first axis identifies the domain from which the disruption originates; the second identifies its scale. Together, these two axes provide a common language by which events of very different character may be situated and compared.</w:t>
      </w:r>
    </w:p>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The four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Domain</w:t>
            </w:r>
          </w:p>
        </w:tc>
        <w:tc>
          <w:tcPr>
            <w:tcW w:type="dxa" w:w="40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c>
          <w:tcPr>
            <w:tcW w:type="dxa" w:w="29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Illustrative events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Transport-related</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Any interruption or degradation of passenger or freight movement, originating in the transport system itself.</w:t>
            </w:r>
          </w:p>
        </w:tc>
        <w:tc>
          <w:tcPr>
            <w:tcW w:type="dxa" w:w="2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Congestion, public-transport delays, road works, strikes, infrastructure faults.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Environment and weather</w:t>
            </w:r>
          </w:p>
        </w:tc>
        <w:tc>
          <w:tcPr>
            <w:tcW w:type="dxa" w:w="4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Natural phenomena that alter mobility conditions or damage infrastructure.</w:t>
            </w:r>
          </w:p>
        </w:tc>
        <w:tc>
          <w:tcPr>
            <w:tcW w:type="dxa" w:w="2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Floods, storms, snowfall and ice, heatwaves, earthquakes.</w:t>
            </w:r>
          </w:p>
        </w:tc>
      </w:tr>
      <w:t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Utilities and connectivity</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Failures of essential services that constrain mobility directly or indirectly.</w:t>
            </w:r>
          </w:p>
        </w:tc>
        <w:tc>
          <w:tcPr>
            <w:tcW w:type="dxa" w:w="2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Power outages, water-supply failures, ICT and telecommunications outages.</w:t>
            </w:r>
          </w:p>
        </w:tc>
      </w:tr>
      <w:tr>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Public space and events</w:t>
            </w:r>
          </w:p>
        </w:tc>
        <w:tc>
          <w:tcPr>
            <w:tcW w:type="dxa" w:w="4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Planned or unplanned occupations of public space that displace mobility flows.</w:t>
            </w:r>
          </w:p>
        </w:tc>
        <w:tc>
          <w:tcPr>
            <w:tcW w:type="dxa" w:w="2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Protests, public assemblies, sporting events, civil unrest.</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The three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Scale</w:t>
            </w:r>
          </w:p>
        </w:tc>
        <w:tc>
          <w:tcPr>
            <w:tcW w:type="dxa" w:w="46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Character</w:t>
            </w:r>
          </w:p>
        </w:tc>
        <w:tc>
          <w:tcPr>
            <w:tcW w:type="dxa" w:w="30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Typical response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Daily</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Frequent, short-lived stressors that cumulatively erode mobility efficiency.</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Operational adjustment; routine traffic management.</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Mid-scale</w:t>
            </w:r>
          </w:p>
        </w:tc>
        <w:tc>
          <w:tcPr>
            <w:tcW w:type="dxa" w:w="46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Localised events of bounded duration that disrupt particular corridors or services.</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Tactical rerouting; temporary service modification.</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Large-scale</w:t>
            </w:r>
          </w:p>
        </w:tc>
        <w:tc>
          <w:tcPr>
            <w:tcW w:type="dxa" w:w="46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Major disruptions affecting whole districts or systems, requiring coordinated response.</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Strategic intervention; emergency coordination across agencies.</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Each candidate use case in this document is associated with at least one domain and one scale, by which the partners may judge its relevance to their pilot. The deliverable itself notes that disruptions frequently propagate across domains, as for example when a heatwave aggravates congestion, or a power outage disturbs public-transport headways. The partners are invited to keep these compound effects in mind.</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  Conventions for the Description of a Use Case</w:t>
      </w:r>
    </w:p>
    <w:p>
      <w:pPr>
        <w:spacing w:after="100" w:before="100" w:line="320"/>
        <w:jc w:val="both"/>
      </w:pPr>
      <w:r>
        <w:rPr>
          <w:rFonts w:ascii="Garamond" w:cs="Garamond" w:eastAsia="Garamond" w:hAnsi="Garamond"/>
          <w:sz w:val="22"/>
          <w:szCs w:val="22"/>
        </w:rPr>
        <w:t xml:space="preserve">A use case is, in essence, a description of a scenario in which an actor employs the system to accomplish a goal. To bring uniformity to the candidates that follow, each is set out under the same fields, in accordance with the following template.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Field</w:t>
            </w:r>
          </w:p>
        </w:tc>
        <w:tc>
          <w:tcPr>
            <w:tcW w:type="dxa" w:w="716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left"/>
            </w:pPr>
            <w:r>
              <w:rPr>
                <w:rFonts w:ascii="Garamond" w:cs="Garamond" w:eastAsia="Garamond" w:hAnsi="Garamond"/>
                <w:b/>
                <w:bCs/>
                <w:color w:val="FFFFFF"/>
                <w:sz w:val="22"/>
                <w:szCs w:val="22"/>
              </w:rPr>
              <w:t xml:space="preserve">Description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Identifier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 short reference of the form UC-[city]-[number].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Title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 concise name for the use case.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Actor(s)</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The persons or systems that initiate or participate in the case (e.g., traffic operator, citizen, emergency responder).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The event or condition that initiates the case (drawn from the disruption taxonomy of D2.1).</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The outcome that the actor seeks to achieve through the system.</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Pre-conditions</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What must be true at the moment the trigger occurs.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Main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The sequence of steps by which the system supports the actor in attaining the goal.</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Expected outcome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The state of affairs at the end of the case, by which success may be judged.</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To illustrate the convention, a worked example is given below. It draws upon a flood-and-hospital scenario familiar from the Thessalonican context but does not constitute a candidate for any particular pilot.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UC-EX-01</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Worked example: hospital access during a flash flood</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Actors</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Traffic operator at the urban control centre; hospital duty manager; emergency responders.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flash-flood event of mid to large scale, detected within the urban area.</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accessibility to the hospital for emergency vehicles within five minutes of the flood detection.</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Pre-conditions</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is operational; the road network and the hospital are represented in the system; the flood detection feed is connected.</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Main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1. The flood detection feed reports a confirmed event with location and severity. 2. SUMA identifies impassable road segments. 3. SUMA computes alternative routes from principal origins to the hospital. 4. The traffic operator verifies and approves the recommended diversions. 5. The hospital duty manager is informed. 6. Emergency responders receive updated routing.</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Expected outcome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Accessibility to the hospital is maintained or restored within the five-minute target; the diversion is logged for subsequent analysis.</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III.  Candidate Use Cases by Pilot Demonstrator</w:t>
      </w:r>
    </w:p>
    <w:p>
      <w:pPr>
        <w:spacing w:after="100" w:before="100" w:line="320"/>
        <w:jc w:val="both"/>
      </w:pPr>
      <w:r>
        <w:rPr>
          <w:rFonts w:ascii="Garamond" w:cs="Garamond" w:eastAsia="Garamond" w:hAnsi="Garamond"/>
          <w:sz w:val="22"/>
          <w:szCs w:val="22"/>
        </w:rPr>
        <w:t xml:space="preserve">The pilot demonstrators are presented in alphabetical order. For each, a short contextual note is offered, drawing on the evidence of D2.1, followed by four candidate use cases. The candidates have been chosen so as to span the dominant disruption types relevant to the pilot, but they are not intended to exhaust the possibilities.</w:t>
      </w:r>
    </w:p>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Bratislava</w:t>
      </w:r>
    </w:p>
    <w:p>
      <w:pPr>
        <w:spacing w:after="100" w:before="100" w:line="320"/>
        <w:jc w:val="both"/>
      </w:pPr>
      <w:r>
        <w:rPr>
          <w:rFonts w:ascii="Garamond" w:cs="Garamond" w:eastAsia="Garamond" w:hAnsi="Garamond"/>
          <w:sz w:val="22"/>
          <w:szCs w:val="22"/>
        </w:rPr>
        <w:t xml:space="preserve">The Bratislava demonstrator is principally concerned with the daily and mid-scale stressors that arise in a growing capital city: congestion, public-transport perturbations, planned road works, and the consequences of urban-development decisions. The catalogue compiled in D2.1 records no large-scale events for Bratislava, although the city itself notes a long history of Danube flood events and of localised flash flooding affecting underpasses, neither of which figured prominently in the catalogue. The use cases proposed below accordingly emphasise daily and mid-scale disruptions, with a complementary case on flooding to address the gap that the local partner has identified.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UC-BRA-01</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Anticipating congestion arising from planned road works on principal corridors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Transport-related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Daily / 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planned road-works programme is scheduled along a principal radial (Saratovská, Karloveská, Lamačská, Vajnorská, Račianska, Ružinovská, or Slovnaftská) or upon the inner ring (Šancová, Štefanovičova, Staromestská, Karadžičova).</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anticipate the redistribution of traffic and to advise traffic-management measures in advance of the works.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simulates the proposed scheduling using the city’s VISUM macroscopic model, identifies likely alternative routes, estimates the consequent stress on adjacent corridors, and recommends signal-timing or capacity adjustments. The traffic operator reviews and approves the chosen measures.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UC-BRA-02</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Supporting public-transport service during a strike or service disruption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Transport-related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strike or service disruption affects part of the public-transport network serving the central office clusters at Mlynské Nivy, Karadžičova, Pribinova, or Prievozská.</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mobility for commuters by adapting service and informing the public.</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affected lines, computes the displacement of demand to other modes and services, and advises adjustments to remaining services. The traffic operator coordinates with the public-transport authority. Commuters from the high-density districts (Petržalka, Ružinov, Dúbravka, Karlova Ves) are informed through established channels.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UC-BRA-03</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Evaluating an urban-planning intervention prior to implementation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Public space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planning decision concerning street-network change is under consideration in a suburban growth pole.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inform the planning decision through evidence-based scenario analysis, with attention to the daily commuting inflows from the suburban poles.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models the proposed change in the VISUM environment, compares mobility outcomes against the baseline, and presents trade-offs across selected KPIs. The decision-maker reviews the scenarios and approves or amends the proposal.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UC-BRA-04</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Responding to a public assembly, protest, or sporting event in the government district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Public space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protest rally in the government district, a major sporting event, or a similar public assembly is announced, requiring road closures.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minimise the disturbance to ordinary mobility while accommodating the event.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streets and stops affected, models alternative routings, and proposes signal-priority and bus-rerouting measures. The operator approves the plan and the public are notified.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UC-BRA-05</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Responding to Danube flooding affecting embankments and underpasses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Danube flood event or localised flash flooding is confirmed, threatening the Danube embankments (Nábřežie) or low-lying underpasses.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mobility through alternative routings and to advise the closure of vulnerable underpasses in good time.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receives the flood detection feed, identifies impassable segments, computes alternative routes, and advises temporary closures and adjustments to the bridges and embankment routes. The operator approves the measures and the public are informed.</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Larissa</w:t>
      </w:r>
    </w:p>
    <w:p>
      <w:pPr>
        <w:spacing w:after="100" w:before="100" w:line="320"/>
        <w:jc w:val="both"/>
      </w:pPr>
      <w:r>
        <w:rPr>
          <w:rFonts w:ascii="Garamond" w:cs="Garamond" w:eastAsia="Garamond" w:hAnsi="Garamond"/>
          <w:sz w:val="22"/>
          <w:szCs w:val="22"/>
        </w:rPr>
        <w:t xml:space="preserve">The Larissa demonstrator faces a recurrent threat from flooding, in common with much of the Thessalian region. The local partner has confirmed that riverside areas are the dominant vulnerability and that traffic-count data is presently unavailable, with collection planned by the end of the year. Three streets have been identified by the partner as the principal congestion hotspots: Kiprou, Iroon Politechniou, and Papanastasiou. The last of these has been singled out by the partner as the corridor that the city wishes most to protect from severe congestion.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UC-LAR-01</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Flood response and rerouting around riverside areas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 / 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flood event of mid or large scale is confirmed in the riverside areas of Larissa.</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mobility by rerouting traffic away from inundated roads and by adapting public-transport services.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receives the flood detection, identifies impassable segments, and computes alternative routes that avoid Kiprou and Iroon Politechniou where these are flooded, while preserving the Papanastasiou corridor as a priority arterial. The operator approves the measures and the public are informed.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UC-LAR-02</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Maintaining the Papanastasiou priority corridor under stress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Transport-related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disruption (whether a flood, an accident, or a public event) threatens the Papanastasiou street between Agios Nikolaos and the Mayor Sapkas Central Square.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flow along the Papanastasiou corridor that the city has identified as its highest priority for protection.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source of the disruption, computes alternative routings for non-essential traffic to free the corridor, and reserves priority for emergency and public-transport services. The operator coordinates with the responsible authorities.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UC-LAR-03</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Anticipating storm impacts through forecast-driven scenarios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meteorological forecast indicates an imminent storm of significant severity.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prepare the network for the forecast event by pre-positioning resources and pre-announcing measures.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ingests the forecast, models likely impacts on the network using such proxy data as the city’s parking system and e-bike sharing data afford, and proposes preparatory measures (closures, service reductions, communications). The operator coordinates with emergency services.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UC-LAR-04</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Recovery monitoring after a major flood event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end of a flood event has been declared in the riverside areas.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monitor the restoration of the system to its baseline and to identify residual problems.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tracks the state of the network against the pre-event baseline, identifies streets that have not yet recovered (with particular attention to the principal congestion hotspots), and reports on the time elapsed since the event. A recovery report is generated for the responsible authority.</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Odesa</w:t>
      </w:r>
    </w:p>
    <w:p>
      <w:pPr>
        <w:spacing w:after="100" w:before="100" w:line="320"/>
        <w:jc w:val="both"/>
      </w:pPr>
      <w:r>
        <w:rPr>
          <w:rFonts w:ascii="Garamond" w:cs="Garamond" w:eastAsia="Garamond" w:hAnsi="Garamond"/>
          <w:sz w:val="22"/>
          <w:szCs w:val="22"/>
        </w:rPr>
        <w:t xml:space="preserve">The Odesa demonstrator operates in a context of conflict, with associated infrastructure and utility disruptions. The catalogue of D2.1 records a confirmed power outage in November 2024 that resulted in public-transport delays of approximately fifteen minutes, and the local partner has further indicated that the Department of Transport collects fragmentary traffic-flow data and is presently developing schemes for shared bus-and-emergency-vehicle lanes. Four arterials have been identified as particularly subject to congestion: Balkivska Street, Mykolaivska Doroha, Lyustdorfska Doroha, and Nebesnoi Sotni Avenue, together with the Railway Station and Pryvoz market areas. The pilot is also informed by the work of Myronenko and colleagues on the optimisation of the Odesa public-transport network, in which timeliness, environmental benefit, and fuel saving were identified as the principal characteristics influencing passenger satisfaction.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UC-ODE-01</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Mobility response during a power outage on principal arterials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Utilities and connectivity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 / 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power outage affects part of the city, impairing traffic signals on principal arterials such as Balkivska Street, Mykolaivska Doroha, Lyustdorfska Doroha, or Nebesnoi Sotni Avenue, and degrading public-transport operations.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mobility under degraded infrastructure and to advise corrective action.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affected area, models the consequences for signal control and public-transport headways on the affected arterials, and recommends measures (manual signal control, alternative routings, service contraction). The operator coordinates with the utility provider and with public-transport operators.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UC-ODE-02</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Maintaining critical mobility during infrastructure damage near the Railway Station and Pryvoz market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Utilities and connectivity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Damage to a principal road, bridge, or transport facility is reported in the central area, including the Railway Station district or the Pryvoz market.</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restore essential mobility through the available remaining capacity, with attention to the Khadzhibeysky, Peresypsky, and Kyivsky residential districts whose connection to the centre must be preserved.</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damaged element, computes alternative routes through the remaining network, and advises the prioritisation of essential trips. The operator coordinates with civil-protection authorities.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UC-ODE-03</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Continuity of emergency-service access during simultaneous disruptions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Utilities and connectivity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Two or more disruptions co-occur (for example, a power outage compounded by an air-raid alert or by infrastructure damage).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emergency-service access despite the compounding effect of the disruptions.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composes the impact of the multiple disruptions, identifies viable corridors, and advises the dispatch of emergency vehicles along the protected lanes that are also configured for public-transport priority. The civil-protection coordinator approves and disseminates the routing.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UC-ODE-04</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Restoration planning following a major disruption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Utilities and connectivity</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The end of a major disruption is approaching or has been declared.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plan the orderly restoration of mobility and to capture lessons for future disruptions.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reports on the duration of the disruption, the variability of the system response, and the residual impact. A debrief is generated for the responsible authority and the lessons are recorded for subsequent learning.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UC-ODE-05</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Optimisation of the public-transport network for resilience and passenger satisfaction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Transport-related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Daily / 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ordinary operational planning cycle, or a sustained shift in demand patterns occasioned by displacement, infrastructure repair, or seasonal variation.</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optimise the public-transport route network and the allocation of rolling stock, taking into account the high passenger satisfaction value placed upon timeliness (95 per cent), environmental benefit (87 per cent), and fuel saving (72 per cent), as recorded in recent passenger surveys.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ingests the available passenger-flow and traffic-flow data, simulates the consequences of route changes and of the shared bus-and-emergency-vehicle lanes presently under design by the city, and recommends a revised configuration. The Department of Transport reviews and approves the recommendations.</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AHEPA (Thessaloniki)</w:t>
      </w:r>
    </w:p>
    <w:p>
      <w:pPr>
        <w:spacing w:after="100" w:before="100" w:line="320"/>
        <w:jc w:val="both"/>
      </w:pPr>
      <w:r>
        <w:rPr>
          <w:rFonts w:ascii="Garamond" w:cs="Garamond" w:eastAsia="Garamond" w:hAnsi="Garamond"/>
          <w:sz w:val="22"/>
          <w:szCs w:val="22"/>
        </w:rPr>
        <w:t xml:space="preserve">The AHEPA demonstrator is centred upon the General Hospital and the access conditions to which it is subject. The catalogue of D2.1 records nine large-scale events for Thessaloniki, comprising six floods and three earthquakes, together with a recent congestion event in 2025. The integrated analysis identifies Thessaloniki as one of the highest-disruption sites among the areas of interest. The local partner has confirmed that the AHEPA Hospital, located within the city centre, is the specific location that the consortium wishes most to protect from severe congestion. The city further benefits from a sophisticated data infrastructure, including the Smart Mobility Living Lab, Bluetooth detectors, inductive loops, smart traffic lights, and floating car data, with which SUMA may integrate. The principal congestion is concentrated upon the Inner Ring Road, the horizontal axes of Egnatia and Tsimiski, and their connecting vertical arteries, where average speeds frequently fall to 25–30 km/h.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UC-AHE-01</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Preserving hospital access during a flood event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 / 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flood event is confirmed in the vicinity of the AHEPA Hospital or upon the principal approach corridors.</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patient and staff access to the hospital throughout the event.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ingests data from the Smart Mobility Living Lab, the Bluetooth detectors, and the inductive loops; identifies impassable approaches; computes alternative routes for ambulances and for staff transit through the Inner Ring and the Egnatia and Tsimiski axes; and advises temporary diversions. The hospital duty manager is informed of the access conditions.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UC-AHE-02</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Hospital access during a major traffic disruption upon the central axes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Transport-related</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Mid-scale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major traffic incident, congestion event, or scheduled closure affects the Inner Ring Road or the Egnatia and Tsimiski corridors leading to the AHEPA Hospital.</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preserve emergency-vehicle access to the hospital despite the disruption.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affected corridors using the Traffic Control Centre data, computes alternative emergency routes, and requests signal priority through the smart traffic-light infrastructure. The hospital and the dispatch services are notified of the new routing.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UC-AHE-03</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Earthquake response and post-event infrastructure assessment</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 earthquake event is detected within the urban area; the seismic record of Aristotle University is the principal source.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assess the post-event accessibility of the hospital and to support the operation of emergency services.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composes the available infrastructure information, identifies probable damage to corridors, bridges, and the western industrial corridor, and computes provisional routes pending physical inspection. The civil-protection coordinator confirms the inspection programme.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65D" w:sz="8"/>
              <w:left w:val="single" w:color="999999" w:sz="4"/>
              <w:bottom w:val="single" w:color="999999" w:sz="4"/>
              <w:right w:val="single" w:color="999999" w:sz="4"/>
            </w:tcBorders>
            <w:shd w:fill="1A365D" w:val="clear"/>
            <w:tcMar>
              <w:top w:type="dxa" w:w="100"/>
              <w:left w:type="dxa" w:w="110"/>
              <w:bottom w:type="dxa" w:w="100"/>
              <w:right w:type="dxa" w:w="110"/>
            </w:tcMar>
          </w:tcPr>
          <w:p>
            <w:pPr>
              <w:jc w:val="center"/>
            </w:pPr>
            <w:r>
              <w:rPr>
                <w:rFonts w:ascii="Garamond" w:cs="Garamond" w:eastAsia="Garamond" w:hAnsi="Garamond"/>
                <w:b/>
                <w:bCs/>
                <w:color w:val="FFFFFF"/>
                <w:sz w:val="22"/>
                <w:szCs w:val="22"/>
              </w:rPr>
              <w:t xml:space="preserve">UC-AHE-04</w:t>
            </w:r>
          </w:p>
        </w:tc>
        <w:tc>
          <w:tcPr>
            <w:tcW w:type="dxa" w:w="7160"/>
            <w:tcBorders>
              <w:top w:val="single" w:color="1A365D" w:sz="8"/>
              <w:left w:val="single" w:color="999999" w:sz="4"/>
              <w:bottom w:val="single" w:color="999999" w:sz="4"/>
              <w:right w:val="single" w:color="999999" w:sz="4"/>
            </w:tcBorders>
            <w:shd w:fill="EAEAEA" w:val="clear"/>
            <w:tcMar>
              <w:top w:type="dxa" w:w="100"/>
              <w:left w:type="dxa" w:w="110"/>
              <w:bottom w:type="dxa" w:w="100"/>
              <w:right w:type="dxa" w:w="110"/>
            </w:tcMar>
          </w:tcPr>
          <w:p>
            <w:r>
              <w:rPr>
                <w:rFonts w:ascii="Garamond" w:cs="Garamond" w:eastAsia="Garamond" w:hAnsi="Garamond"/>
                <w:b/>
                <w:bCs/>
                <w:color w:val="1A365D"/>
                <w:sz w:val="22"/>
                <w:szCs w:val="22"/>
              </w:rPr>
              <w:t xml:space="preserve">Coordinating patient transfers during a regional disruption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Domain</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Environment and weather</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Scale</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Large-scale</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Trigger</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 regional disruption affects access between the AHEPA Hospital and other healthcare facilities in the metropolitan area.</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Goal</w:t>
            </w:r>
          </w:p>
        </w:tc>
        <w:tc>
          <w:tcPr>
            <w:tcW w:type="dxa" w:w="71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To support inter-facility patient transfers under degraded mobility conditions.</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Outline of flow</w:t>
            </w:r>
          </w:p>
        </w:tc>
        <w:tc>
          <w:tcPr>
            <w:tcW w:type="dxa" w:w="71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identifies the available corridors between the facilities, advises the dispatch of medical transport, and coordinates with civil protection. Each transfer is logged for subsequent analysis.</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IV.  Working Table for the Pilot Demonstrators</w:t>
      </w:r>
    </w:p>
    <w:p>
      <w:pPr>
        <w:spacing w:after="100" w:before="100" w:line="320"/>
        <w:jc w:val="both"/>
      </w:pPr>
      <w:r>
        <w:rPr>
          <w:rFonts w:ascii="Garamond" w:cs="Garamond" w:eastAsia="Garamond" w:hAnsi="Garamond"/>
          <w:sz w:val="22"/>
          <w:szCs w:val="22"/>
        </w:rPr>
        <w:t xml:space="preserve">The table below is offered to support the deliberations of Session 1. Each pilot table may indicate, against each candidate, whether it is to be retained as drafted, refined for local conditions, or set aside. Annotations and additional candidates may be entered in the margins or on a separate sheet for the consolidation that follows in the plenary.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1380"/>
        <w:gridCol w:w="1380"/>
      </w:tblGrid>
      <w:tr>
        <w:trPr>
          <w:tblHeader/>
        </w:trPr>
        <w:tc>
          <w:tcPr>
            <w:tcW w:type="dxa" w:w="1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Identifier</w:t>
            </w:r>
          </w:p>
        </w:tc>
        <w:tc>
          <w:tcPr>
            <w:tcW w:type="dxa" w:w="4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Title</w:t>
            </w:r>
          </w:p>
        </w:tc>
        <w:tc>
          <w:tcPr>
            <w:tcW w:type="dxa" w:w="13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Retain?</w:t>
            </w:r>
          </w:p>
        </w:tc>
        <w:tc>
          <w:tcPr>
            <w:tcW w:type="dxa" w:w="138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Refine?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UC-BRA-01</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Anticipating congestion arising from planned road works on principal corridors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UC-BRA-02</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Supporting public-transport service during a strike or service disruption</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UC-BRA-03</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Evaluating an urban-planning intervention prior to implementation</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UC-BRA-04</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Responding to a public assembly, protest, or sporting event in the government district</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UC-BRA-05</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Responding to Danube flooding affecting embankments and underpasses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UC-LAR-01</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Flood response and rerouting around riverside areas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UC-LAR-02</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Maintaining the Papanastasiou priority corridor under stress</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UC-LAR-03</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Anticipating storm impacts through forecast-driven scenarios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UC-LAR-04</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Recovery monitoring after a major flood event</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UC-ODE-01</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Mobility response during a power outage on principal arterials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UC-ODE-02</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Maintaining critical mobility during infrastructure damage near the Railway Station and Pryvoz market</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UC-ODE-03</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Continuity of emergency-service access during simultaneous disruptions</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UC-ODE-04</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Restoration planning following a major disruption</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UC-ODE-05</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Optimisation of the public-transport network for resilience and passenger satisfaction</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UC-AHE-01</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Preserving hospital access during a flood event</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UC-AHE-02</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Hospital access during a major traffic disruption upon the central axes</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UC-AHE-03</w:t>
            </w:r>
          </w:p>
        </w:tc>
        <w:tc>
          <w:tcPr>
            <w:tcW w:type="dxa" w:w="4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Earthquake response and post-event infrastructure assessment</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r>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UC-AHE-04</w:t>
            </w:r>
          </w:p>
        </w:tc>
        <w:tc>
          <w:tcPr>
            <w:tcW w:type="dxa" w:w="4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Coordinating patient transfers during a regional disruption</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c>
          <w:tcPr>
            <w:tcW w:type="dxa" w:w="138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val="false"/>
                <w:bCs w:val="false"/>
                <w:i w:val="false"/>
                <w:iCs w:val="false"/>
                <w:color w:val="000000"/>
                <w:sz w:val="22"/>
                <w:szCs w:val="22"/>
              </w:rPr>
              <w:t xml:space="preserve">□</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is suggested that the convention proposed for use be the following: a tick (✓) for retention as drafted, the letter R for refinement, and a dash (—) for setting aside. Newly proposed cases may be assigned a provisional identifier of the form UC-[city]-NEW-1 and recorded with a short title and trigger for later development.</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  Subsequent Steps</w:t>
      </w:r>
    </w:p>
    <w:p>
      <w:pPr>
        <w:spacing w:after="100" w:before="100" w:line="320"/>
        <w:jc w:val="both"/>
      </w:pPr>
      <w:r>
        <w:rPr>
          <w:rFonts w:ascii="Garamond" w:cs="Garamond" w:eastAsia="Garamond" w:hAnsi="Garamond"/>
          <w:sz w:val="22"/>
          <w:szCs w:val="22"/>
        </w:rPr>
        <w:t xml:space="preserve">The use cases agreed in Session 1 will, as the agenda foresees, frame the deliberations of the sessions that follow. In Session 2, the partners will identify, for each agreed use case, the SUMA requirements that bear upon its realisation, drawing from the Reference of SUMA Requirements prepared from D2.6. In Session 3, the requirements thus retained will be mapped to the ontology classes and data structures of D2.5, by which the formal terms of the system are established. In Session 4, the indicators by which the satisfaction of the requirements will be monitored shall be selected from the consolidated KPI register.</w:t>
      </w:r>
    </w:p>
    <w:p>
      <w:pPr>
        <w:spacing w:after="100" w:before="100" w:line="320"/>
        <w:jc w:val="both"/>
      </w:pPr>
      <w:r>
        <w:rPr>
          <w:rFonts w:ascii="Garamond" w:cs="Garamond" w:eastAsia="Garamond" w:hAnsi="Garamond"/>
          <w:sz w:val="22"/>
          <w:szCs w:val="22"/>
        </w:rPr>
        <w:t xml:space="preserve">The subsequent sessions on Day 2 will translate the requirements into functionality (Session 5) and into a draft architecture (Session 6), and will consider the triage measures (Session 7) and the user-interface arrangements (UI Charrette) by which the system shall be exercised. The use cases produced in Session 1 are, accordingly, the foundation upon which the prototype mock-up of SUMA will be built.</w:t>
      </w:r>
    </w:p>
    <w:p>
      <w:pPr>
        <w:spacing w:after="100" w:before="100" w:line="320"/>
        <w:jc w:val="both"/>
      </w:pPr>
      <w:r>
        <w:rPr>
          <w:rFonts w:ascii="Garamond" w:cs="Garamond" w:eastAsia="Garamond" w:hAnsi="Garamond"/>
          <w:sz w:val="22"/>
          <w:szCs w:val="22"/>
        </w:rPr>
        <w:t xml:space="preserve">The partners are therefore invited to consider, in advance of the assembly, the candidate use cases set out in this document, to refer them against the conditions prevailing in their own pilot, and to come prepared with such additions, refinements, and reservations as they may wish to contribute. In so doing, they will ensure that Session 1 leaves the consortium with a clear and shared specification of the scenarios in which SUMA is to operate.</w:t>
      </w:r>
    </w:p>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Shortlist of Candidate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2026-05-05T13:50:50.667Z</dcterms:created>
  <dcterms:modified xsi:type="dcterms:W3CDTF">2026-05-05T13:50:50.667Z</dcterms:modified>
</cp:coreProperties>
</file>

<file path=docProps/custom.xml><?xml version="1.0" encoding="utf-8"?>
<Properties xmlns="http://schemas.openxmlformats.org/officeDocument/2006/custom-properties" xmlns:vt="http://schemas.openxmlformats.org/officeDocument/2006/docPropsVTypes"/>
</file>