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02: A Single Proportion (pooled admission rate)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1 (Foundations) · </w:t>
      </w:r>
      <w:r>
        <w:rPr>
          <w:b/>
        </w:rPr>
        <w:t>Model family:</w:t>
      </w:r>
      <w:r>
        <w:t xml:space="preserve"> Beta-Binomial (single proportion p)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>models* (Gelman et al. 2020), not a one-way pipeline. P02 builds the smallest GLM-adjacent model —</w:t>
      </w:r>
    </w:p>
    <w:p>
      <w:pPr/>
      <w:r>
        <w:rPr>
          <w:i/>
        </w:rPr>
      </w:r>
      <w:r>
        <w:rPr>
          <w:i/>
        </w:rPr>
        <w:t>one proportion — and ends by *naming the model that fixes it* (P07). The numbering is a reference</w:t>
      </w:r>
    </w:p>
    <w:p>
      <w:pPr/>
      <w:r>
        <w:rPr>
          <w:i/>
        </w:rPr>
      </w:r>
      <w:r>
        <w:rPr>
          <w:i/>
        </w:rPr>
        <w:t>order for a single pass.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*Rank-normalization … improved R̂.* Bayesian Analysis 16(2).</w:t>
      </w:r>
    </w:p>
    <w:p>
      <w:pPr>
        <w:pStyle w:val="ListBullet"/>
      </w:pPr>
      <w:r>
        <w:t>Vehtari, Gelman, Gabry (2017). *Practical Bayesian model evaluation using 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y_sim = rng.binomial(1000, 0.38)</w:t>
      </w:r>
      <w:r>
        <w:t xml:space="preserve">; fit </w:t>
      </w:r>
      <w:r>
        <w:rPr>
          <w:rFonts w:ascii="Consolas" w:hAnsi="Consolas"/>
          <w:sz w:val="20"/>
        </w:rPr>
        <w:t>Binomial(1000, p)</w:t>
      </w:r>
      <w:r>
        <w:t xml:space="preserve">, </w:t>
      </w:r>
      <w:r>
        <w:rPr>
          <w:rFonts w:ascii="Consolas" w:hAnsi="Consolas"/>
          <w:sz w:val="20"/>
        </w:rPr>
        <w:t>p ~ Beta(2,2)</w:t>
      </w:r>
      <w:r>
        <w:t xml:space="preserve">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p̂ = 0.384 (90% HDI 0.357–0.408); </w:t>
      </w:r>
      <w:r>
        <w:rPr>
          <w:b/>
        </w:rPr>
        <w:t>0.38 inside</w:t>
      </w:r>
      <w:r>
        <w:t xml:space="preserve"> → recovery passes; R̂ = 1.00, ESS ≈ 2900/4300.</w:t>
      </w:r>
    </w:p>
    <w:p>
      <w:pPr>
        <w:pStyle w:val="ListBullet"/>
      </w:pPr>
      <w:r>
        <w:rPr>
          <w:b/>
        </w:rPr>
        <w:t>Pass criterion:</w:t>
      </w:r>
      <w:r>
        <w:t xml:space="preserve"> truth inside 90% HDI, no pathologies. </w:t>
      </w:r>
      <w:r>
        <w:rPr>
          <w:b/>
        </w:rPr>
        <w:t>Remedy if failed:</w:t>
      </w:r>
      <w:r>
        <w:t xml:space="preserve"> fix prior/likelihood code before real data.</w:t>
      </w:r>
    </w:p>
    <w:p>
      <w:pPr>
        <w:pStyle w:val="Heading2"/>
      </w:pPr>
      <w:r>
        <w:t>Stage 1 — Problem &amp; question</w:t>
      </w:r>
    </w:p>
    <w:p>
      <w:r>
        <w:t xml:space="preserve">What is the </w:t>
      </w:r>
      <w:r>
        <w:rPr>
          <w:b/>
        </w:rPr>
        <w:t>overall admission probability</w:t>
      </w:r>
      <w:r>
        <w:t xml:space="preserve"> at UC Berkeley (1973), pooling all six departments? Target: a single p. Unit: one application. A good answer is a tight interval for p — *plus* the recognition that the pooled number is the wrong object for comparing groups.</w:t>
      </w:r>
    </w:p>
    <w:p>
      <w:pPr>
        <w:pStyle w:val="Heading2"/>
      </w:pPr>
      <w:r>
        <w:t>Stage 2 — Data &amp; exploration</w:t>
      </w:r>
    </w:p>
    <w:p>
      <w:r>
        <w:rPr>
          <w:rFonts w:ascii="Consolas" w:hAnsi="Consolas"/>
          <w:sz w:val="20"/>
        </w:rPr>
        <w:t>UCBadmit.csv</w:t>
      </w:r>
      <w:r>
        <w:t xml:space="preserve"> (rethinking, </w:t>
      </w:r>
      <w:r>
        <w:rPr>
          <w:b/>
        </w:rPr>
        <w:t>`;`-delimited</w:t>
      </w:r>
      <w:r>
        <w:t xml:space="preserve">). 12 rows (6 departments × 2 genders) with </w:t>
      </w:r>
      <w:r>
        <w:rPr>
          <w:rFonts w:ascii="Consolas" w:hAnsi="Consolas"/>
          <w:sz w:val="20"/>
        </w:rPr>
        <w:t>admit</w:t>
      </w:r>
      <w:r>
        <w:t xml:space="preserve">, </w:t>
      </w:r>
      <w:r>
        <w:rPr>
          <w:rFonts w:ascii="Consolas" w:hAnsi="Consolas"/>
          <w:sz w:val="20"/>
        </w:rPr>
        <w:t>reject</w:t>
      </w:r>
      <w:r>
        <w:t xml:space="preserve">, </w:t>
      </w:r>
      <w:r>
        <w:rPr>
          <w:rFonts w:ascii="Consolas" w:hAnsi="Consolas"/>
          <w:sz w:val="20"/>
        </w:rPr>
        <w:t>applications</w:t>
      </w:r>
      <w:r>
        <w:t xml:space="preserve">. </w:t>
      </w:r>
      <w:r>
        <w:rPr>
          <w:b/>
        </w:rPr>
        <w:t>Pooled:</w:t>
      </w:r>
      <w:r>
        <w:t xml:space="preserve"> 1755 / 4526 = </w:t>
      </w:r>
      <w:r>
        <w:rPr>
          <w:b/>
        </w:rPr>
        <w:t>0.388</w:t>
      </w:r>
      <w:r>
        <w:t xml:space="preserve"> admitted. </w:t>
      </w:r>
      <w:r>
        <w:rPr>
          <w:b/>
        </w:rPr>
        <w:t>Pooled by gender:</w:t>
      </w:r>
      <w:r>
        <w:t xml:space="preserve"> female </w:t>
      </w:r>
      <w:r>
        <w:rPr>
          <w:b/>
        </w:rPr>
        <w:t>0.304</w:t>
      </w:r>
      <w:r>
        <w:t xml:space="preserve">, male </w:t>
      </w:r>
      <w:r>
        <w:rPr>
          <w:b/>
        </w:rPr>
        <w:t>0.445</w:t>
      </w:r>
      <w:r>
        <w:t xml:space="preserve"> — a 14-point apparent gap that motivates the whole project (and dissolves in P07).</w:t>
      </w:r>
    </w:p>
    <w:p>
      <w:pPr>
        <w:pStyle w:val="Heading2"/>
      </w:pPr>
      <w:r>
        <w:t>Stage 3 — Model specification</w:t>
      </w:r>
    </w:p>
    <w:p>
      <w:r>
        <w:t>$$y \sim \mathrm{Binomial}(N, p), \qquad p \sim \mathrm{Beta}(2, 2).$$</w:t>
      </w:r>
    </w:p>
    <w:p>
      <w:r>
        <w:rPr>
          <w:rFonts w:ascii="Consolas" w:hAnsi="Consolas"/>
          <w:sz w:val="20"/>
        </w:rPr>
        <w:t>y</w:t>
      </w:r>
      <w:r>
        <w:t xml:space="preserve"> = total admitted, </w:t>
      </w:r>
      <w:r>
        <w:rPr>
          <w:rFonts w:ascii="Consolas" w:hAnsi="Consolas"/>
          <w:sz w:val="20"/>
        </w:rPr>
        <w:t>N</w:t>
      </w:r>
      <w:r>
        <w:t xml:space="preserve"> = total applications. </w:t>
      </w:r>
      <w:r>
        <w:rPr>
          <w:rFonts w:ascii="Consolas" w:hAnsi="Consolas"/>
          <w:sz w:val="20"/>
        </w:rPr>
        <w:t>Beta(2,2)</w:t>
      </w:r>
      <w:r>
        <w:t xml:space="preserve"> is weakly-informative — gentle mass toward mid-range p, away from the 0/1 extremes. The conjugate posterior is </w:t>
      </w:r>
      <w:r>
        <w:rPr>
          <w:rFonts w:ascii="Consolas" w:hAnsi="Consolas"/>
          <w:sz w:val="20"/>
        </w:rPr>
        <w:t>Beta(2 + y, 2 + N − y)</w:t>
      </w:r>
      <w:r>
        <w:t>, which we use as an exact check.</w:t>
      </w:r>
    </w:p>
    <w:p>
      <w:pPr>
        <w:pStyle w:val="Heading2"/>
      </w:pPr>
      <w:r>
        <w:t>Stage 4 — Prior predictive (OUTCOME scale)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pm.sample_prior_predictive</w:t>
      </w:r>
      <w:r>
        <w:t xml:space="preserve">; histogram of </w:t>
      </w:r>
      <w:r>
        <w:rPr>
          <w:rFonts w:ascii="Consolas" w:hAnsi="Consolas"/>
          <w:sz w:val="20"/>
        </w:rPr>
        <w:t>y / N</w:t>
      </w:r>
      <w:r>
        <w:t xml:space="preserve"> (admitted *proportion*).</w:t>
      </w:r>
    </w:p>
    <w:p>
      <w:pPr>
        <w:pStyle w:val="ListBullet"/>
      </w:pPr>
      <w:r>
        <w:rPr>
          <w:b/>
        </w:rPr>
        <w:t>Observed:</w:t>
      </w:r>
      <w:r>
        <w:t xml:space="preserve"> central 5–95% spans roughly the whole unit interval — </w:t>
      </w:r>
      <w:r>
        <w:rPr>
          <w:rFonts w:ascii="Consolas" w:hAnsi="Consolas"/>
          <w:sz w:val="20"/>
        </w:rPr>
        <w:t>Beta(2,2)</w:t>
      </w:r>
      <w:r>
        <w:t xml:space="preserve"> admits any plausible rate; no absurd mass.</w:t>
      </w:r>
    </w:p>
    <w:p>
      <w:pPr>
        <w:pStyle w:val="ListBullet"/>
      </w:pPr>
      <w:r>
        <w:rPr>
          <w:b/>
        </w:rPr>
        <w:t>Pass criterion:</w:t>
      </w:r>
      <w:r>
        <w:t xml:space="preserve"> plausible proportions, no spike at 0 or 1. </w:t>
      </w:r>
      <w:r>
        <w:rPr>
          <w:b/>
        </w:rPr>
        <w:t>Remedy:</w:t>
      </w:r>
      <w:r>
        <w:t xml:space="preserve"> use a more concentrated Beta if domain knowledge is strong.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pm.sample(draws=2000, tune=1000, chains=4, target_accept=0.9, random_seed=2)</w:t>
      </w:r>
      <w:r>
        <w:t>. Sub-second;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p = 0.388, R̂ = 1.00, ESS-bulk ≈ 3100, ESS-tail ≈ 4600, </w:t>
      </w:r>
      <w:r>
        <w:rPr>
          <w:b/>
        </w:rPr>
        <w:t>0 divergences</w:t>
      </w:r>
      <w:r>
        <w:t>, BFMI ≈ 1.1–1.3. All pass.</w:t>
      </w:r>
    </w:p>
    <w:p>
      <w:pPr>
        <w:pStyle w:val="Heading2"/>
      </w:pPr>
      <w:r>
        <w:t>Grid vs MCMC (the new skill)</w:t>
      </w:r>
    </w:p>
    <w:p>
      <w:r>
        <w:t>Evaluate the one-parameter posterior on a 2000-point grid and overlay the MCMC histogram and the</w:t>
      </w:r>
    </w:p>
    <w:p>
      <w:r>
        <w:t xml:space="preserve">exact </w:t>
      </w:r>
      <w:r>
        <w:rPr>
          <w:rFonts w:ascii="Consolas" w:hAnsi="Consolas"/>
          <w:sz w:val="20"/>
        </w:rPr>
        <w:t>Beta</w:t>
      </w:r>
      <w:r>
        <w:t xml:space="preserve"> posterior. </w:t>
      </w:r>
      <w:r>
        <w:rPr>
          <w:b/>
        </w:rPr>
        <w:t>Posterior means agree to four decimals:</w:t>
      </w:r>
      <w:r>
        <w:t xml:space="preserve"> MCMC 0.3877, grid 0.3879, exact</w:t>
      </w:r>
    </w:p>
    <w:p>
      <w:r>
        <w:t>0.3879. The lesson: for one parameter all three methods coincide — MCMC's value is that it *keeps</w:t>
      </w:r>
    </w:p>
    <w:p>
      <w:r>
        <w:t>working* when the parameter count grows and the grid becomes infeasible.</w:t>
      </w:r>
    </w:p>
    <w:p>
      <w:pPr>
        <w:pStyle w:val="Heading2"/>
      </w:pPr>
      <w:r>
        <w:t>Stage 7 — Interpretation</w:t>
      </w:r>
    </w:p>
    <w:p>
      <w:r>
        <w:rPr>
          <w:b/>
        </w:rPr>
        <w:t>Overall admission probability p = 0.388 (94% HDI 0.375–0.403)</w:t>
      </w:r>
      <w:r>
        <w:t xml:space="preserve"> — about 39 of every 100</w:t>
      </w:r>
    </w:p>
    <w:p>
      <w:r>
        <w:t>applications admitted, pooling all departments.</w:t>
      </w:r>
    </w:p>
    <w:p>
      <w:pPr>
        <w:pStyle w:val="Heading2"/>
      </w:pPr>
      <w:r>
        <w:t>Stage 8 — Posterior predictive check (department level)</w:t>
      </w:r>
    </w:p>
    <w:p>
      <w:r>
        <w:t>The pooled model reproduces the *total* by construction, so the informative check is per department.</w:t>
      </w:r>
    </w:p>
    <w:p>
      <w:r>
        <w:rPr>
          <w:b/>
        </w:rPr>
        <w:t>Observed department rates range from 0.06 to 0.64</w:t>
      </w:r>
      <w:r>
        <w:t xml:space="preserve"> — wildly outside the pooled 94% HDI (0.375–0.403).</w:t>
      </w:r>
    </w:p>
    <w:p>
      <w:r>
        <w:t>A single p cannot fit six departments: the systematic misfit *is* the result.</w:t>
      </w:r>
    </w:p>
    <w:p>
      <w:pPr>
        <w:pStyle w:val="Heading2"/>
      </w:pPr>
      <w:r>
        <w:t>Stage 9 — Model comparison</w:t>
      </w:r>
    </w:p>
    <w:p>
      <w:r>
        <w:t>Formal LOO comparison is deferred to P07 (where a department + gender GLM is the meaningful expanded</w:t>
      </w:r>
    </w:p>
    <w:p>
      <w:r>
        <w:t>model). At Tier 1 the rubric permits dropping comparison; the Stage-8 department plot already shows</w:t>
      </w:r>
    </w:p>
    <w:p>
      <w:r>
        <w:t>the pooled model is inadequate.</w:t>
      </w:r>
    </w:p>
    <w:p>
      <w:pPr>
        <w:pStyle w:val="Heading2"/>
      </w:pPr>
      <w:r>
        <w:t>Stage 10 — Power-scaling prior sensitivity</w:t>
      </w:r>
    </w:p>
    <w:p>
      <w:r>
        <w:t xml:space="preserve">Reweight by </w:t>
      </w:r>
      <w:r>
        <w:rPr>
          <w:rFonts w:ascii="Consolas" w:hAnsi="Consolas"/>
          <w:sz w:val="20"/>
        </w:rPr>
        <w:t>prior^(α−1)</w:t>
      </w:r>
      <w:r>
        <w:t xml:space="preserve"> for α ∈ {0.5, 1, 2}: E[p] = 0.3876 / 0.3877 / 0.3877 — unchanged. With</w:t>
      </w:r>
    </w:p>
    <w:p>
      <w:r>
        <w:t>N &gt; 4500 applications the prior is irrelevant; the data fix p.</w:t>
      </w:r>
    </w:p>
    <w:p>
      <w:pPr>
        <w:pStyle w:val="Heading2"/>
      </w:pPr>
      <w:r>
        <w:t>Stage 11 — Model expansion / iteration</w:t>
      </w:r>
    </w:p>
    <w:p>
      <w:r>
        <w:rPr>
          <w:b/>
        </w:rPr>
        <w:t>Next model: P07 — `admit ~ department + gender` (Binomial GLM).</w:t>
      </w:r>
      <w:r>
        <w:t xml:space="preserve"> Conditioning on department</w:t>
      </w:r>
    </w:p>
    <w:p>
      <w:r>
        <w:t>dissolves the 0.304-vs-0.445 gender gap (women applied disproportionately to harder departments):</w:t>
      </w:r>
    </w:p>
    <w:p>
      <w:r>
        <w:rPr>
          <w:b/>
        </w:rPr>
        <w:t>Simpson's paradox.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*the pooled Berkeley admission probability is ≈ 0.39 (94% HDI 0.375–0.403), but this</w:t>
      </w:r>
    </w:p>
    <w:p>
      <w:r>
        <w:t>single number is misleading — admission rates span 0.06–0.64 across departments, so a pooled rate must</w:t>
      </w:r>
    </w:p>
    <w:p>
      <w:r>
        <w:t>never be used to compare applicant groups.* Limitation: pooling discards the only variable</w:t>
      </w:r>
    </w:p>
    <w:p>
      <w:r>
        <w:t>(department) that explains the gender pattern.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