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11: Eight Schools (centered vs non-centered + the funnel)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3 (Multilevel) · </w:t>
      </w:r>
      <w:r>
        <w:rPr>
          <w:b/>
        </w:rPr>
        <w:t>Model family:</w:t>
      </w:r>
      <w:r>
        <w:t xml:space="preserve"> Hierarchical normal (partial pooling)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P11 is the </w:t>
      </w:r>
      <w:r>
        <w:rPr>
          <w:b/>
          <w:i/>
        </w:rPr>
        <w:t>first multilevel model</w:t>
      </w:r>
      <w:r>
        <w:rPr>
          <w:i/>
        </w:rPr>
        <w:t xml:space="preserve"> and a **deliberate-failure</w:t>
      </w:r>
    </w:p>
    <w:p>
      <w:pPr/>
      <w:r>
        <w:rPr>
          <w:i/>
        </w:rPr>
      </w:r>
      <w:r>
        <w:rPr>
          <w:i/>
        </w:rPr>
        <w:t>project**: the textbook *centered* parameterization breaks the sampler in the *funnel*; the</w:t>
      </w:r>
    </w:p>
    <w:p>
      <w:pPr/>
      <w:r>
        <w:rPr>
          <w:i/>
        </w:rPr>
      </w:r>
      <w:r>
        <w:rPr>
          <w:i/>
        </w:rPr>
        <w:t>*non-centered* form fixes the geometry without changing the model. Tier 3 adds **Simulation-Based</w:t>
      </w:r>
    </w:p>
    <w:p>
      <w:pPr/>
      <w:r>
        <w:rPr>
          <w:i/>
        </w:rPr>
      </w:r>
      <w:r>
        <w:rPr>
          <w:i/>
        </w:rPr>
        <w:t>Calibration (SBC)** to certify the fixed sampler.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ListBullet"/>
      </w:pPr>
      <w:r>
        <w:t>Talts et al. (2018). *Validating Bayesian Inference Algorithms with SBC.* arXiv:1804.06788.</w:t>
      </w:r>
    </w:p>
    <w:p>
      <w:pPr>
        <w:pStyle w:val="ListBullet"/>
      </w:pPr>
      <w:r>
        <w:t>Säilynoja, Bürkner, Vehtari (2022). *Graphical Test for Discrete Uniformity.* Stat. Comput. 32.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from </w:t>
      </w:r>
      <w:r>
        <w:rPr>
          <w:rFonts w:ascii="Consolas" w:hAnsi="Consolas"/>
          <w:sz w:val="20"/>
        </w:rPr>
        <w:t>mu = 6, tau = 5</w:t>
      </w:r>
      <w:r>
        <w:t xml:space="preserve">; draw </w:t>
      </w:r>
      <w:r>
        <w:rPr>
          <w:rFonts w:ascii="Consolas" w:hAnsi="Consolas"/>
          <w:sz w:val="20"/>
        </w:rPr>
        <w:t>theta_j</w:t>
      </w:r>
      <w:r>
        <w:t xml:space="preserve">, then </w:t>
      </w:r>
      <w:r>
        <w:rPr>
          <w:rFonts w:ascii="Consolas" w:hAnsi="Consolas"/>
          <w:sz w:val="20"/>
        </w:rPr>
        <w:t>y_j</w:t>
      </w:r>
      <w:r>
        <w:t xml:space="preserve">; fit the </w:t>
      </w:r>
      <w:r>
        <w:rPr>
          <w:b/>
        </w:rPr>
        <w:t>non-centered</w:t>
      </w:r>
      <w:r>
        <w:t xml:space="preserve"> model;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mu recovered (6.04, 90% HDI −0.61 to 13.27), tau recovered (4.94, HDI 0.00 to 10.27); R̂ = 1.00.</w:t>
      </w:r>
    </w:p>
    <w:p>
      <w:pPr>
        <w:pStyle w:val="ListBullet"/>
      </w:pPr>
      <w:r>
        <w:rPr>
          <w:b/>
        </w:rPr>
        <w:t>Pass criterion:</w:t>
      </w:r>
      <w:r>
        <w:t xml:space="preserve"> both truths inside 90% HDI. </w:t>
      </w:r>
      <w:r>
        <w:rPr>
          <w:b/>
        </w:rPr>
        <w:t>Remedy:</w:t>
      </w:r>
      <w:r>
        <w:t xml:space="preserve"> fix model/priors before real data.</w:t>
      </w:r>
    </w:p>
    <w:p>
      <w:pPr>
        <w:pStyle w:val="Heading2"/>
      </w:pPr>
      <w:r>
        <w:t>Stage 1 — Problem &amp; question</w:t>
      </w:r>
    </w:p>
    <w:p>
      <w:r>
        <w:t xml:space="preserve">Is there a real coaching effect across 8 schools, and how much should each noisy estimate be </w:t>
      </w:r>
      <w:r>
        <w:rPr>
          <w:b/>
        </w:rPr>
        <w:t>shrunk</w:t>
      </w:r>
    </w:p>
    <w:p>
      <w:r>
        <w:t xml:space="preserve">toward the common mean </w:t>
      </w:r>
      <w:r>
        <w:rPr>
          <w:rFonts w:ascii="Consolas" w:hAnsi="Consolas"/>
          <w:sz w:val="20"/>
        </w:rPr>
        <w:t>mu</w:t>
      </w:r>
      <w:r>
        <w:t xml:space="preserve">? The key hyperparameter is </w:t>
      </w:r>
      <w:r>
        <w:rPr>
          <w:rFonts w:ascii="Consolas" w:hAnsi="Consolas"/>
          <w:sz w:val="20"/>
        </w:rPr>
        <w:t>tau</w:t>
      </w:r>
      <w:r>
        <w:t>, the between-school SD (</w:t>
      </w:r>
      <w:r>
        <w:rPr>
          <w:rFonts w:ascii="Consolas" w:hAnsi="Consolas"/>
          <w:sz w:val="20"/>
        </w:rPr>
        <w:t>tau→0</w:t>
      </w:r>
      <w:r>
        <w:t xml:space="preserve"> = complete</w:t>
      </w:r>
    </w:p>
    <w:p>
      <w:r>
        <w:t xml:space="preserve">pooling; large </w:t>
      </w:r>
      <w:r>
        <w:rPr>
          <w:rFonts w:ascii="Consolas" w:hAnsi="Consolas"/>
          <w:sz w:val="20"/>
        </w:rPr>
        <w:t>tau</w:t>
      </w:r>
      <w:r>
        <w:t xml:space="preserve"> = no pooling). Unit: one school.</w:t>
      </w:r>
    </w:p>
    <w:p>
      <w:pPr>
        <w:pStyle w:val="Heading2"/>
      </w:pPr>
      <w:r>
        <w:t>Stage 2 — Data &amp; exploration</w:t>
      </w:r>
    </w:p>
    <w:p>
      <w:r>
        <w:t xml:space="preserve">Rubin (1981) eight schools, </w:t>
      </w:r>
      <w:r>
        <w:rPr>
          <w:b/>
        </w:rPr>
        <w:t>hardcoded</w:t>
      </w:r>
      <w:r>
        <w:t xml:space="preserve">: </w:t>
      </w:r>
      <w:r>
        <w:rPr>
          <w:rFonts w:ascii="Consolas" w:hAnsi="Consolas"/>
          <w:sz w:val="20"/>
        </w:rPr>
        <w:t>y = [28, 8, −3, 7, −1, 1, 18, 12]</w:t>
      </w:r>
      <w:r>
        <w:t>,</w:t>
      </w:r>
    </w:p>
    <w:p>
      <w:r>
        <w:rPr>
          <w:rFonts w:ascii="Consolas" w:hAnsi="Consolas"/>
          <w:sz w:val="20"/>
        </w:rPr>
        <w:t>sigma = [15, 10, 16, 11, 9, 11, 10, 18]</w:t>
      </w:r>
      <w:r>
        <w:t xml:space="preserve">. Precision-weighted pooled mean </w:t>
      </w:r>
      <w:r>
        <w:rPr>
          <w:b/>
        </w:rPr>
        <w:t>7.69</w:t>
      </w:r>
      <w:r>
        <w:t>. Every school's</w:t>
      </w:r>
    </w:p>
    <w:p>
      <w:r>
        <w:t>interval overlaps every other's — much of the spread could be sampling noise.</w:t>
      </w:r>
    </w:p>
    <w:p>
      <w:pPr>
        <w:pStyle w:val="Heading2"/>
      </w:pPr>
      <w:r>
        <w:t>Stage 3 — Model specification</w:t>
      </w:r>
    </w:p>
    <w:p>
      <w:r>
        <w:t>$$y_j \sim \mathrm{Normal}(\theta_j, \sigma_j),\quad \theta_j \sim \mathrm{Normal}(\mu, \tau),\quad \mu\sim\mathrm{Normal}(0,10),\ \tau\sim\mathrm{HalfNormal}(10).$$</w:t>
      </w:r>
    </w:p>
    <w:p>
      <w:r>
        <w:t xml:space="preserve">The </w:t>
      </w:r>
      <w:r>
        <w:rPr>
          <w:b/>
        </w:rPr>
        <w:t>centered</w:t>
      </w:r>
      <w:r>
        <w:t xml:space="preserve"> form samples </w:t>
      </w:r>
      <w:r>
        <w:rPr>
          <w:rFonts w:ascii="Consolas" w:hAnsi="Consolas"/>
          <w:sz w:val="20"/>
        </w:rPr>
        <w:t>theta_j</w:t>
      </w:r>
      <w:r>
        <w:t xml:space="preserve"> directly. When </w:t>
      </w:r>
      <w:r>
        <w:rPr>
          <w:rFonts w:ascii="Consolas" w:hAnsi="Consolas"/>
          <w:sz w:val="20"/>
        </w:rPr>
        <w:t>tau</w:t>
      </w:r>
      <w:r>
        <w:t xml:space="preserve"> is small, </w:t>
      </w:r>
      <w:r>
        <w:rPr>
          <w:rFonts w:ascii="Consolas" w:hAnsi="Consolas"/>
          <w:sz w:val="20"/>
        </w:rPr>
        <w:t>(theta_j, tau)</w:t>
      </w:r>
      <w:r>
        <w:t xml:space="preserve"> forms a sharp</w:t>
      </w:r>
    </w:p>
    <w:p>
      <w:r>
        <w:t>*funnel* HMC cannot traverse with one step size → divergences.</w:t>
      </w:r>
    </w:p>
    <w:p>
      <w:pPr>
        <w:pStyle w:val="Heading2"/>
      </w:pPr>
      <w:r>
        <w:t>Stage 4 — Prior predictive on the OUTCOME scale</w:t>
      </w:r>
    </w:p>
    <w:p>
      <w:pPr>
        <w:pStyle w:val="ListBullet"/>
      </w:pPr>
      <w:r>
        <w:rPr>
          <w:b/>
        </w:rPr>
        <w:t>Observed:</w:t>
      </w:r>
      <w:r>
        <w:t xml:space="preserve"> prior-predictive school effects have mean 0.2, sd 18.8, 1–99% range [−46, 47] points — plausible (tens of points, not thousands).</w:t>
      </w:r>
    </w:p>
    <w:p>
      <w:pPr>
        <w:pStyle w:val="ListBullet"/>
      </w:pPr>
      <w:r>
        <w:rPr>
          <w:b/>
        </w:rPr>
        <w:t>Pass criterion:</w:t>
      </w:r>
      <w:r>
        <w:t xml:space="preserve"> implied effects are physically sensible. </w:t>
      </w:r>
      <w:r>
        <w:rPr>
          <w:b/>
        </w:rPr>
        <w:t>Remedy:</w:t>
      </w:r>
      <w:r>
        <w:t xml:space="preserve"> tighten </w:t>
      </w:r>
      <w:r>
        <w:rPr>
          <w:rFonts w:ascii="Consolas" w:hAnsi="Consolas"/>
          <w:sz w:val="20"/>
        </w:rPr>
        <w:t>mu</w:t>
      </w:r>
      <w:r>
        <w:t>/</w:t>
      </w:r>
      <w:r>
        <w:rPr>
          <w:rFonts w:ascii="Consolas" w:hAnsi="Consolas"/>
          <w:sz w:val="20"/>
        </w:rPr>
        <w:t>tau</w:t>
      </w:r>
      <w:r>
        <w:t xml:space="preserve"> priors if effects explode.</w:t>
      </w:r>
    </w:p>
    <w:p>
      <w:pPr>
        <w:pStyle w:val="Heading2"/>
      </w:pPr>
      <w:r>
        <w:t>Stage 5 — Fit the CENTERED model [the deliberate failure]</w:t>
      </w:r>
    </w:p>
    <w:p>
      <w:r>
        <w:rPr>
          <w:rFonts w:ascii="Consolas" w:hAnsi="Consolas"/>
          <w:sz w:val="20"/>
        </w:rPr>
        <w:t>pm.sample(1000, tune=1000, chains=4, target_accept=0.9, seed=11)</w:t>
      </w:r>
      <w:r>
        <w:t>. ~12 s.</w:t>
      </w:r>
    </w:p>
    <w:p>
      <w:pPr>
        <w:pStyle w:val="Heading2"/>
      </w:pPr>
      <w:r>
        <w:t>Stage 6 — Diagnostics of the CENTERED model: the failure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b/>
        </w:rPr>
        <w:t>129 divergences</w:t>
      </w:r>
      <w:r>
        <w:t xml:space="preserve">; tau ESS-bulk only </w:t>
      </w:r>
      <w:r>
        <w:rPr>
          <w:b/>
        </w:rPr>
        <w:t>215</w:t>
      </w:r>
      <w:r>
        <w:t xml:space="preserve"> (ess-tail 140); R̂(tau) = </w:t>
      </w:r>
      <w:r>
        <w:rPr>
          <w:b/>
        </w:rPr>
        <w:t>1.02</w:t>
      </w:r>
      <w:r>
        <w:t xml:space="preserve"> (&gt; 0.01 target). Textbook funnel pathology.</w:t>
      </w:r>
    </w:p>
    <w:p>
      <w:pPr>
        <w:pStyle w:val="ListBullet"/>
      </w:pPr>
      <w:r>
        <w:rPr>
          <w:b/>
        </w:rPr>
        <w:t>Stage 6b — the funnel visualized:</w:t>
      </w:r>
      <w:r>
        <w:t xml:space="preserve"> </w:t>
      </w:r>
      <w:r>
        <w:rPr>
          <w:rFonts w:ascii="Consolas" w:hAnsi="Consolas"/>
          <w:sz w:val="20"/>
        </w:rPr>
        <w:t>plot_pair(theta[0], tau, divergences=True)</w:t>
      </w:r>
      <w:r>
        <w:t xml:space="preserve"> shows divergent draws clustered in the neck — median </w:t>
      </w:r>
      <w:r>
        <w:rPr>
          <w:rFonts w:ascii="Consolas" w:hAnsi="Consolas"/>
          <w:sz w:val="20"/>
        </w:rPr>
        <w:t>log(tau) = 0.22</w:t>
      </w:r>
      <w:r>
        <w:t xml:space="preserve"> for divergent draws vs </w:t>
      </w:r>
      <w:r>
        <w:rPr>
          <w:b/>
        </w:rPr>
        <w:t>1.55</w:t>
      </w:r>
      <w:r>
        <w:t xml:space="preserve"> for non-divergent.</w:t>
      </w:r>
    </w:p>
    <w:p>
      <w:pPr>
        <w:pStyle w:val="Heading2"/>
      </w:pPr>
      <w:r>
        <w:t>Stage 5-fix / 6-fix — the NON-CENTERED reparameterization [the fix]</w:t>
      </w:r>
    </w:p>
    <w:p>
      <w:r>
        <w:t xml:space="preserve">Write </w:t>
      </w:r>
      <w:r>
        <w:rPr>
          <w:rFonts w:ascii="Consolas" w:hAnsi="Consolas"/>
          <w:sz w:val="20"/>
        </w:rPr>
        <w:t>theta_j = mu + tau·z_j</w:t>
      </w:r>
      <w:r>
        <w:t xml:space="preserve">, </w:t>
      </w:r>
      <w:r>
        <w:rPr>
          <w:rFonts w:ascii="Consolas" w:hAnsi="Consolas"/>
          <w:sz w:val="20"/>
        </w:rPr>
        <w:t>z_j ~ Normal(0,1)</w:t>
      </w:r>
      <w:r>
        <w:t xml:space="preserve">, so </w:t>
      </w:r>
      <w:r>
        <w:rPr>
          <w:rFonts w:ascii="Consolas" w:hAnsi="Consolas"/>
          <w:sz w:val="20"/>
        </w:rPr>
        <w:t>z</w:t>
      </w:r>
      <w:r>
        <w:t xml:space="preserve"> and </w:t>
      </w:r>
      <w:r>
        <w:rPr>
          <w:rFonts w:ascii="Consolas" w:hAnsi="Consolas"/>
          <w:sz w:val="20"/>
        </w:rPr>
        <w:t>tau</w:t>
      </w:r>
      <w:r>
        <w:t xml:space="preserve"> are *a priori independent*.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b/>
        </w:rPr>
        <w:t>0 divergences</w:t>
      </w:r>
      <w:r>
        <w:t xml:space="preserve"> (was 129); tau ESS-bulk </w:t>
      </w:r>
      <w:r>
        <w:rPr>
          <w:b/>
        </w:rPr>
        <w:t>2008</w:t>
      </w:r>
      <w:r>
        <w:t xml:space="preserve"> (was 215); R̂ = 1.00; BFMI ≈ 0.88–0.98. Same posterior, friendlier geometry.</w:t>
      </w:r>
    </w:p>
    <w:p>
      <w:pPr>
        <w:pStyle w:val="ListBullet"/>
      </w:pPr>
      <w:r>
        <w:rPr>
          <w:b/>
        </w:rPr>
        <w:t>Stage 6c:</w:t>
      </w:r>
      <w:r>
        <w:t xml:space="preserve"> the identical </w:t>
      </w:r>
      <w:r>
        <w:rPr>
          <w:rFonts w:ascii="Consolas" w:hAnsi="Consolas"/>
          <w:sz w:val="20"/>
        </w:rPr>
        <w:t>theta[0]</w:t>
      </w:r>
      <w:r>
        <w:t xml:space="preserve"> vs </w:t>
      </w:r>
      <w:r>
        <w:rPr>
          <w:rFonts w:ascii="Consolas" w:hAnsi="Consolas"/>
          <w:sz w:val="20"/>
        </w:rPr>
        <w:t>tau</w:t>
      </w:r>
      <w:r>
        <w:t xml:space="preserve"> plot now reaches the neck cleanly with no divergences.</w:t>
      </w:r>
    </w:p>
    <w:p>
      <w:pPr>
        <w:pStyle w:val="Heading2"/>
      </w:pPr>
      <w:r>
        <w:t>Stage 7 — Interpretation (non-centered) + shrinkage</w:t>
      </w:r>
    </w:p>
    <w:p>
      <w:pPr>
        <w:pStyle w:val="ListBullet"/>
      </w:pPr>
      <w:r>
        <w:rPr>
          <w:b/>
        </w:rPr>
        <w:t>mu = 6.40</w:t>
      </w:r>
      <w:r>
        <w:t xml:space="preserve"> (94% HDI −1.28 to 14.35); </w:t>
      </w:r>
      <w:r>
        <w:rPr>
          <w:b/>
        </w:rPr>
        <w:t>tau = 4.90</w:t>
      </w:r>
      <w:r>
        <w:t xml:space="preserve"> (94% HDI 0.01 to 11.75 — poorly identified from only 8 schools).</w:t>
      </w:r>
    </w:p>
    <w:p>
      <w:pPr>
        <w:pStyle w:val="ListBullet"/>
      </w:pPr>
      <w:r>
        <w:rPr>
          <w:b/>
        </w:rPr>
        <w:t>Shrinkage:</w:t>
      </w:r>
      <w:r>
        <w:t xml:space="preserve"> school A's raw +28 is pulled to </w:t>
      </w:r>
      <w:r>
        <w:rPr>
          <w:b/>
        </w:rPr>
        <w:t>9.06</w:t>
      </w:r>
      <w:r>
        <w:t xml:space="preserve">; C's −3 rises to </w:t>
      </w:r>
      <w:r>
        <w:rPr>
          <w:b/>
        </w:rPr>
        <w:t>5.23</w:t>
      </w:r>
      <w:r>
        <w:t xml:space="preserve">; G's +18 to </w:t>
      </w:r>
      <w:r>
        <w:rPr>
          <w:b/>
        </w:rPr>
        <w:t>8.83</w:t>
      </w:r>
      <w:r>
        <w:t xml:space="preserve">. Small-information schools shrink hard toward </w:t>
      </w:r>
      <w:r>
        <w:rPr>
          <w:rFonts w:ascii="Consolas" w:hAnsi="Consolas"/>
          <w:sz w:val="20"/>
        </w:rPr>
        <w:t>mu</w:t>
      </w:r>
      <w:r>
        <w:t>.</w:t>
      </w:r>
    </w:p>
    <w:p>
      <w:pPr>
        <w:pStyle w:val="Heading2"/>
      </w:pPr>
      <w:r>
        <w:t>Stage 8 — Posterior predictive check</w:t>
      </w:r>
    </w:p>
    <w:p>
      <w:pPr>
        <w:pStyle w:val="ListBullet"/>
      </w:pPr>
      <w:r>
        <w:rPr>
          <w:b/>
        </w:rPr>
        <w:t>Discrepancy stats:</w:t>
      </w:r>
      <w:r>
        <w:t xml:space="preserve"> mean p = 0.36, sd p = 0.74, min p = 0.15, max p = 0.41 — no gross misfit; the hierarchical model reproduces the observed spread of estimates.</w:t>
      </w:r>
    </w:p>
    <w:p>
      <w:pPr>
        <w:pStyle w:val="Heading2"/>
      </w:pPr>
      <w:r>
        <w:t>Stage 9 — Comparison: partial vs complete pooling (LOO)</w:t>
      </w:r>
    </w:p>
    <w:p>
      <w:r>
        <w:t xml:space="preserve">The centered/non-centered choice is *computation*, so the genuine model comparison is </w:t>
      </w:r>
      <w:r>
        <w:rPr>
          <w:b/>
        </w:rPr>
        <w:t>partial pooling</w:t>
      </w:r>
    </w:p>
    <w:p>
      <w:r>
        <w:t xml:space="preserve">vs </w:t>
      </w:r>
      <w:r>
        <w:rPr>
          <w:b/>
        </w:rPr>
        <w:t>complete pooling</w:t>
      </w:r>
      <w:r>
        <w:t xml:space="preserve"> (</w:t>
      </w:r>
      <w:r>
        <w:rPr>
          <w:rFonts w:ascii="Consolas" w:hAnsi="Consolas"/>
          <w:sz w:val="20"/>
        </w:rPr>
        <w:t>tau→0</w:t>
      </w:r>
      <w:r>
        <w:t>).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rFonts w:ascii="Consolas" w:hAnsi="Consolas"/>
          <w:sz w:val="20"/>
        </w:rPr>
        <w:t>elpd_diff</w:t>
      </w:r>
      <w:r>
        <w:t xml:space="preserve"> = </w:t>
      </w:r>
      <w:r>
        <w:rPr>
          <w:b/>
        </w:rPr>
        <w:t>0.30 ± 0.18</w:t>
      </w:r>
      <w:r>
        <w:t xml:space="preserve"> (1.7 SE) — the two are statistically indistinguishable with J = 8; max Pareto-k̂ = 0.55 &lt; 0.70 (LOO reliable). With so few schools and weak evidence for </w:t>
      </w:r>
      <w:r>
        <w:rPr>
          <w:rFonts w:ascii="Consolas" w:hAnsi="Consolas"/>
          <w:sz w:val="20"/>
        </w:rPr>
        <w:t>tau &gt; 0</w:t>
      </w:r>
      <w:r>
        <w:t>, complete pooling is nearly as good — exactly the right humility.</w:t>
      </w:r>
    </w:p>
    <w:p>
      <w:pPr>
        <w:pStyle w:val="Heading2"/>
      </w:pPr>
      <w:r>
        <w:t>Stage 10 — Power-scaling prior sensitivity (tau)</w:t>
      </w:r>
    </w:p>
    <w:p>
      <w:pPr>
        <w:pStyle w:val="ListBullet"/>
      </w:pPr>
      <w:r>
        <w:rPr>
          <w:b/>
        </w:rPr>
        <w:t>Observed:</w:t>
      </w:r>
      <w:r>
        <w:t xml:space="preserve"> E[tau] = 5.12 / 4.90 / 4.66 across α ∈ {0.8, 1, 1.25}; E[mu] = 6.62 / 6.40 / 6.15. Mild movement in </w:t>
      </w:r>
      <w:r>
        <w:rPr>
          <w:rFonts w:ascii="Consolas" w:hAnsi="Consolas"/>
          <w:sz w:val="20"/>
        </w:rPr>
        <w:t>tau</w:t>
      </w:r>
      <w:r>
        <w:t xml:space="preserve"> (expected — it is weakly identified), </w:t>
      </w:r>
      <w:r>
        <w:rPr>
          <w:rFonts w:ascii="Consolas" w:hAnsi="Consolas"/>
          <w:sz w:val="20"/>
        </w:rPr>
        <w:t>mu</w:t>
      </w:r>
      <w:r>
        <w:t xml:space="preserve"> essentially stable.</w:t>
      </w:r>
    </w:p>
    <w:p>
      <w:pPr>
        <w:pStyle w:val="Heading2"/>
      </w:pPr>
      <w:r>
        <w:t>Stage 11 — SBC (Simulation-Based Calibration) [Tier-3 required]</w:t>
      </w:r>
    </w:p>
    <w:p>
      <w:pPr>
        <w:pStyle w:val="ListBullet"/>
      </w:pPr>
      <w:r>
        <w:rPr>
          <w:b/>
        </w:rPr>
        <w:t>Command:</w:t>
      </w:r>
      <w:r>
        <w:t xml:space="preserve"> 150 sims; each draws </w:t>
      </w:r>
      <w:r>
        <w:rPr>
          <w:rFonts w:ascii="Consolas" w:hAnsi="Consolas"/>
          <w:sz w:val="20"/>
        </w:rPr>
        <w:t>(mu_t, tau_t)</w:t>
      </w:r>
      <w:r>
        <w:t xml:space="preserve"> from the priors, simulates </w:t>
      </w:r>
      <w:r>
        <w:rPr>
          <w:rFonts w:ascii="Consolas" w:hAnsi="Consolas"/>
          <w:sz w:val="20"/>
        </w:rPr>
        <w:t>y</w:t>
      </w:r>
      <w:r>
        <w:t xml:space="preserve">, refits the non-centered model with a cheap sampler (draws=400, tune=400, chains=2); record rank of </w:t>
      </w:r>
      <w:r>
        <w:rPr>
          <w:rFonts w:ascii="Consolas" w:hAnsi="Consolas"/>
          <w:sz w:val="20"/>
        </w:rPr>
        <w:t>mu_t</w:t>
      </w:r>
      <w:r>
        <w:t xml:space="preserve"> among 800 posterior draws.</w:t>
      </w:r>
    </w:p>
    <w:p>
      <w:pPr>
        <w:pStyle w:val="ListBullet"/>
      </w:pPr>
      <w:r>
        <w:rPr>
          <w:b/>
        </w:rPr>
        <w:t>Observed:</w:t>
      </w:r>
      <w:r>
        <w:t xml:space="preserve"> rank histogram flat; </w:t>
      </w:r>
      <w:r>
        <w:rPr>
          <w:b/>
        </w:rPr>
        <w:t>chi-square = 16.7, df = 19, p = 0.612 → uniform (calibrated)</w:t>
      </w:r>
      <w:r>
        <w:t xml:space="preserve">. Runtime 347 s (within the Tier-3 &lt; 8 min budget). No ∪/∩ shape → no systematic bias in </w:t>
      </w:r>
      <w:r>
        <w:rPr>
          <w:rFonts w:ascii="Consolas" w:hAnsi="Consolas"/>
          <w:sz w:val="20"/>
        </w:rPr>
        <w:t>mu</w:t>
      </w:r>
      <w:r>
        <w:t>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*the coaching effect is small and uncertain (</w:t>
      </w:r>
      <w:r>
        <w:rPr>
          <w:rFonts w:ascii="Consolas" w:hAnsi="Consolas"/>
          <w:sz w:val="20"/>
        </w:rPr>
        <w:t>mu</w:t>
      </w:r>
      <w:r>
        <w:t xml:space="preserve"> ≈ 6 points, 94% HDI crossing 0), with</w:t>
      </w:r>
    </w:p>
    <w:p>
      <w:r>
        <w:rPr>
          <w:rFonts w:ascii="Consolas" w:hAnsi="Consolas"/>
          <w:sz w:val="20"/>
        </w:rPr>
        <w:t>tau</w:t>
      </w:r>
      <w:r>
        <w:t xml:space="preserve"> barely identified from 8 schools. The* </w:t>
      </w:r>
      <w:r>
        <w:rPr>
          <w:b/>
        </w:rPr>
        <w:t>centered</w:t>
      </w:r>
      <w:r>
        <w:t xml:space="preserve"> *parameterization fails with 129 divergences in</w:t>
      </w:r>
    </w:p>
    <w:p>
      <w:r>
        <w:t xml:space="preserve">the funnel; the* </w:t>
      </w:r>
      <w:r>
        <w:rPr>
          <w:b/>
        </w:rPr>
        <w:t>non-centered</w:t>
      </w:r>
      <w:r>
        <w:t xml:space="preserve"> *form fixes it (0 divergences, ESS ×9), and SBC (p = 0.61) confirms the</w:t>
      </w:r>
    </w:p>
    <w:p>
      <w:r>
        <w:t xml:space="preserve">fixed sampler is calibrated.* Limitation: with J = 8, </w:t>
      </w:r>
      <w:r>
        <w:rPr>
          <w:rFonts w:ascii="Consolas" w:hAnsi="Consolas"/>
          <w:sz w:val="20"/>
        </w:rPr>
        <w:t>tau</w:t>
      </w:r>
      <w:r>
        <w:t xml:space="preserve"> and any "best school" ranking remain highly</w:t>
      </w:r>
    </w:p>
    <w:p>
      <w:r>
        <w:t>uncertain — do not over-interpret school A's raw +28.</w:t>
      </w:r>
    </w:p>
    <w:p>
      <w:r>
        <w:t>*SBC is introduced here at Tier 3. Every stage lists command · expected output · pass criterion · failure remedy. This is a model-aware acceptance: the centered failure is shown, explained, then fixed.*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