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06: Switching wells ~ arsenic + distance (logistic regression)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2 (GLMs) · </w:t>
      </w:r>
      <w:r>
        <w:rPr>
          <w:b/>
        </w:rPr>
        <w:t>Model family:</w:t>
      </w:r>
      <w:r>
        <w:t xml:space="preserve"> Bernoulli / logit GLM (logistic regression)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P06 is the first </w:t>
      </w:r>
      <w:r>
        <w:rPr>
          <w:b/>
          <w:i/>
        </w:rPr>
        <w:t>GLM</w:t>
      </w:r>
      <w:r>
        <w:rPr>
          <w:i/>
        </w:rPr>
        <w:t xml:space="preserve">; its craft skills are the </w:t>
      </w:r>
      <w:r>
        <w:rPr>
          <w:b/>
          <w:i/>
        </w:rPr>
        <w:t>logit link</w:t>
      </w:r>
      <w:r>
        <w:rPr>
          <w:i/>
        </w:rPr>
        <w:t xml:space="preserve"> and</w:t>
      </w:r>
    </w:p>
    <w:p>
      <w:pPr/>
      <w:r>
        <w:rPr>
          <w:i/>
        </w:rPr>
      </w:r>
      <w:r>
        <w:rPr>
          <w:b/>
          <w:i/>
        </w:rPr>
        <w:t>odds-ratio</w:t>
      </w:r>
      <w:r>
        <w:rPr>
          <w:i/>
        </w:rPr>
        <w:t xml:space="preserve"> interpretation, the </w:t>
      </w:r>
      <w:r>
        <w:rPr>
          <w:b/>
          <w:i/>
        </w:rPr>
        <w:t>prior predictive on the probability scale</w:t>
      </w:r>
      <w:r>
        <w:rPr>
          <w:i/>
        </w:rPr>
        <w:t xml:space="preserve">, and a </w:t>
      </w:r>
      <w:r>
        <w:rPr>
          <w:b/>
          <w:i/>
        </w:rPr>
        <w:t>binary PPC</w:t>
      </w:r>
    </w:p>
    <w:p>
      <w:pPr/>
      <w:r>
        <w:rPr>
          <w:i/>
        </w:rPr>
      </w:r>
      <w:r>
        <w:rPr>
          <w:i/>
        </w:rPr>
        <w:t>via a calibration plot.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</w:t>
      </w:r>
      <w:r>
        <w:rPr>
          <w:rFonts w:ascii="Consolas" w:hAnsi="Consolas"/>
          <w:sz w:val="20"/>
        </w:rPr>
        <w:t>y ~ Bernoulli(invlogit(0.3 + 0.9·ars − 0.6·dist))</w:t>
      </w:r>
      <w:r>
        <w:t xml:space="preserve"> on standardized predictors; fit;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a = 0.379, b_ars = 0.932, b_dist = −0.703 — </w:t>
      </w:r>
      <w:r>
        <w:rPr>
          <w:b/>
        </w:rPr>
        <w:t>all three truths inside their 90% HDI</w:t>
      </w:r>
      <w:r>
        <w:t>;</w:t>
      </w:r>
    </w:p>
    <w:p>
      <w:r>
        <w:t xml:space="preserve">  R̂ = 1.00, ESS-bulk &gt; 3100.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 xml:space="preserve">What makes a Bangladeshi household </w:t>
      </w:r>
      <w:r>
        <w:rPr>
          <w:b/>
        </w:rPr>
        <w:t>switch</w:t>
      </w:r>
      <w:r>
        <w:t xml:space="preserve"> away from an arsenic-contaminated well — the water's danger</w:t>
      </w:r>
    </w:p>
    <w:p>
      <w:r>
        <w:t>(arsenic) and/or the distance to the nearest safe well? Target: the odds ratios. Unit: one household.</w:t>
      </w:r>
    </w:p>
    <w:p>
      <w:pPr>
        <w:pStyle w:val="Heading2"/>
      </w:pPr>
      <w:r>
        <w:t>Stage 2 — Data &amp; exploration</w:t>
      </w:r>
    </w:p>
    <w:p>
      <w:r>
        <w:t>wells.csv (</w:t>
      </w:r>
      <w:r>
        <w:rPr>
          <w:b/>
        </w:rPr>
        <w:t>comma-delimited</w:t>
      </w:r>
      <w:r>
        <w:t xml:space="preserve">), </w:t>
      </w:r>
      <w:r>
        <w:rPr>
          <w:b/>
        </w:rPr>
        <w:t>3020 households</w:t>
      </w:r>
      <w:r>
        <w:t xml:space="preserve">, overall </w:t>
      </w:r>
      <w:r>
        <w:rPr>
          <w:b/>
        </w:rPr>
        <w:t>switch rate = 0.575</w:t>
      </w:r>
      <w:r>
        <w:t>. arsenic mean 1.66</w:t>
      </w:r>
    </w:p>
    <w:p>
      <w:r>
        <w:t xml:space="preserve">(range 0.51–9.65); distance mean 48.3 m (range 0.4–339.5). We </w:t>
      </w:r>
      <w:r>
        <w:rPr>
          <w:b/>
        </w:rPr>
        <w:t>standardize</w:t>
      </w:r>
      <w:r>
        <w:t xml:space="preserve"> </w:t>
      </w:r>
      <w:r>
        <w:rPr>
          <w:rFonts w:ascii="Consolas" w:hAnsi="Consolas"/>
          <w:sz w:val="20"/>
        </w:rPr>
        <w:t>arsenic</w:t>
      </w:r>
      <w:r>
        <w:t xml:space="preserve"> and </w:t>
      </w:r>
      <w:r>
        <w:rPr>
          <w:rFonts w:ascii="Consolas" w:hAnsi="Consolas"/>
          <w:sz w:val="20"/>
        </w:rPr>
        <w:t>dist</w:t>
      </w:r>
      <w:r>
        <w:t xml:space="preserve"> to</w:t>
      </w:r>
    </w:p>
    <w:p>
      <w:r>
        <w:t>mean 0 / sd 1 so coefficients are comparable and priors interpretable.</w:t>
      </w:r>
    </w:p>
    <w:p>
      <w:pPr>
        <w:pStyle w:val="Heading2"/>
      </w:pPr>
      <w:r>
        <w:t>Stage 3 — Model specification</w:t>
      </w:r>
    </w:p>
    <w:p>
      <w:r>
        <w:t>$$\mathrm{switch}_i \sim \mathrm{Bernoulli}(p_i),\quad \mathrm{logit}(p_i)=a+b_{ars}\,\mathrm{ars\_z}_i+b_{dist}\,\mathrm{dist\_z}_i,$$</w:t>
      </w:r>
    </w:p>
    <w:p>
      <w:r>
        <w:t>$$a\sim\mathrm{Normal}(0,1.5),\quad b_{ars},b_{dist}\sim\mathrm{Normal}(0,1).$$</w:t>
      </w:r>
    </w:p>
    <w:p>
      <w:r>
        <w:t xml:space="preserve">On standardized predictors, </w:t>
      </w:r>
      <w:r>
        <w:rPr>
          <w:rFonts w:ascii="Consolas" w:hAnsi="Consolas"/>
          <w:sz w:val="20"/>
        </w:rPr>
        <w:t>Normal(0,1)</w:t>
      </w:r>
      <w:r>
        <w:t xml:space="preserve"> on a logit slope keeps the odds ratio </w:t>
      </w:r>
      <w:r>
        <w:rPr>
          <w:rFonts w:ascii="Consolas" w:hAnsi="Consolas"/>
          <w:sz w:val="20"/>
        </w:rPr>
        <w:t>exp(b)</w:t>
      </w:r>
      <w:r>
        <w:t xml:space="preserve"> in a plausible</w:t>
      </w:r>
    </w:p>
    <w:p>
      <w:r>
        <w:t>band (≈ 1/7 to 7 per sd).</w:t>
      </w:r>
    </w:p>
    <w:p>
      <w:pPr>
        <w:pStyle w:val="Heading2"/>
      </w:pPr>
      <w:r>
        <w:t>Stage 4 — Prior predictive on the PROBABILITY scale [the GLM lesson]</w:t>
      </w:r>
    </w:p>
    <w:p>
      <w:pPr>
        <w:pStyle w:val="ListBullet"/>
      </w:pPr>
      <w:r>
        <w:rPr>
          <w:b/>
        </w:rPr>
        <w:t>Command:</w:t>
      </w:r>
      <w:r>
        <w:t xml:space="preserve"> push prior draws through </w:t>
      </w:r>
      <w:r>
        <w:rPr>
          <w:rFonts w:ascii="Consolas" w:hAnsi="Consolas"/>
          <w:sz w:val="20"/>
        </w:rPr>
        <w:t>invlogit</w:t>
      </w:r>
      <w:r>
        <w:t>; histogram the implied P(switch).</w:t>
      </w:r>
    </w:p>
    <w:p>
      <w:pPr>
        <w:pStyle w:val="ListBullet"/>
      </w:pPr>
      <w:r>
        <w:rPr>
          <w:b/>
        </w:rPr>
        <w:t>Observed:</w:t>
      </w:r>
      <w:r>
        <w:t xml:space="preserve"> prior-predictive p has mean 0.48, with only </w:t>
      </w:r>
      <w:r>
        <w:rPr>
          <w:b/>
        </w:rPr>
        <w:t>7% below 0.05 and 7% above 0.95</w:t>
      </w:r>
      <w:r>
        <w:t xml:space="preserve"> — mass</w:t>
      </w:r>
    </w:p>
    <w:p>
      <w:r>
        <w:t xml:space="preserve">  spread across (0, 1), </w:t>
      </w:r>
      <w:r>
        <w:rPr>
          <w:b/>
        </w:rPr>
        <w:t>no piling at the extremes</w:t>
      </w:r>
      <w:r>
        <w:t>. This is the signature of a sane logit prior.</w:t>
      </w:r>
    </w:p>
    <w:p>
      <w:pPr>
        <w:pStyle w:val="ListBullet"/>
      </w:pPr>
      <w:r>
        <w:rPr>
          <w:b/>
        </w:rPr>
        <w:t>Pass criterion:</w:t>
      </w:r>
      <w:r>
        <w:t xml:space="preserve"> probabilities cover (0,1) without piling at 0/1. </w:t>
      </w:r>
      <w:r>
        <w:rPr>
          <w:b/>
        </w:rPr>
        <w:t>Remedy:</w:t>
      </w:r>
      <w:r>
        <w:t xml:space="preserve"> shrink the slope priors if they do.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pm.sample(draws=1000, tune=1000, chains=4, target_accept=0.9, random_seed=6)</w:t>
      </w:r>
      <w:r>
        <w:t>. ~17 s including the</w:t>
      </w:r>
    </w:p>
    <w:p>
      <w:r>
        <w:t>distance-only model and posterior predictive; no warnings.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Observed:</w:t>
      </w:r>
      <w:r>
        <w:t xml:space="preserve"> R̂ = 1.00 for a, b_ars, b_dist; ESS-bulk ≈ 3000–3400; </w:t>
      </w:r>
      <w:r>
        <w:rPr>
          <w:b/>
        </w:rPr>
        <w:t>0 divergences</w:t>
      </w:r>
      <w:r>
        <w:t>; BFMI ≈ 0.98–1.17. All pass.</w:t>
      </w:r>
    </w:p>
    <w:p>
      <w:pPr>
        <w:pStyle w:val="Heading2"/>
      </w:pPr>
      <w:r>
        <w:t>Stage 7 — Interpretation: odds ratios</w:t>
      </w:r>
    </w:p>
    <w:p>
      <w:pPr>
        <w:pStyle w:val="ListBullet"/>
      </w:pPr>
      <w:r>
        <w:rPr>
          <w:b/>
        </w:rPr>
        <w:t>arsenic:</w:t>
      </w:r>
      <w:r>
        <w:t xml:space="preserve"> coef </w:t>
      </w:r>
      <w:r>
        <w:rPr>
          <w:b/>
        </w:rPr>
        <w:t>+0.510</w:t>
      </w:r>
      <w:r>
        <w:t xml:space="preserve"> (94% HDI +0.427, +0.600) → </w:t>
      </w:r>
      <w:r>
        <w:rPr>
          <w:b/>
        </w:rPr>
        <w:t>OR 1.67 per +1 sd</w:t>
      </w:r>
      <w:r>
        <w:t xml:space="preserve"> (94% HDI 1.53, 1.82) —</w:t>
      </w:r>
    </w:p>
    <w:p>
      <w:r>
        <w:t xml:space="preserve">  more contaminated water sharply raises the odds of switching.</w:t>
      </w:r>
    </w:p>
    <w:p>
      <w:pPr>
        <w:pStyle w:val="ListBullet"/>
      </w:pPr>
      <w:r>
        <w:rPr>
          <w:b/>
        </w:rPr>
        <w:t>distance:</w:t>
      </w:r>
      <w:r>
        <w:t xml:space="preserve"> coef </w:t>
      </w:r>
      <w:r>
        <w:rPr>
          <w:b/>
        </w:rPr>
        <w:t>−0.346</w:t>
      </w:r>
      <w:r>
        <w:t xml:space="preserve"> (94% HDI −0.421, −0.265) → </w:t>
      </w:r>
      <w:r>
        <w:rPr>
          <w:b/>
        </w:rPr>
        <w:t>OR 0.71 per +1 sd</w:t>
      </w:r>
      <w:r>
        <w:t xml:space="preserve"> (94% HDI 0.66, 0.77) —</w:t>
      </w:r>
    </w:p>
    <w:p>
      <w:r>
        <w:t xml:space="preserve">  a farther safe well modestly lowers the odds of switching.</w:t>
      </w:r>
    </w:p>
    <w:p>
      <w:r>
        <w:t>Arsenic is the stronger driver.</w:t>
      </w:r>
    </w:p>
    <w:p>
      <w:pPr>
        <w:pStyle w:val="Heading2"/>
      </w:pPr>
      <w:r>
        <w:t>Stage 8 — PPC for binary data: switch rate + calibration</w:t>
      </w:r>
    </w:p>
    <w:p>
      <w:pPr>
        <w:pStyle w:val="ListBullet"/>
      </w:pPr>
      <w:r>
        <w:rPr>
          <w:b/>
        </w:rPr>
        <w:t>Discrepancy stat (overall proportion switched):</w:t>
      </w:r>
      <w:r>
        <w:t xml:space="preserve"> observed 0.575 vs posterior-predictive mean 0.575,</w:t>
      </w:r>
    </w:p>
    <w:p>
      <w:r>
        <w:t xml:space="preserve">  </w:t>
      </w:r>
      <w:r>
        <w:rPr>
          <w:b/>
        </w:rPr>
        <w:t>bayes-p = 0.51</w:t>
      </w:r>
      <w:r>
        <w:t xml:space="preserve"> — perfectly centred.</w:t>
      </w:r>
    </w:p>
    <w:p>
      <w:pPr>
        <w:pStyle w:val="ListBullet"/>
      </w:pPr>
      <w:r>
        <w:rPr>
          <w:b/>
        </w:rPr>
        <w:t>Calibration:</w:t>
      </w:r>
      <w:r>
        <w:t xml:space="preserve"> across predicted-probability deciles, the max |observed − predicted| is just </w:t>
      </w:r>
      <w:r>
        <w:rPr>
          <w:b/>
        </w:rPr>
        <w:t>0.039</w:t>
      </w:r>
      <w:r>
        <w:t xml:space="preserve"> —</w:t>
      </w:r>
    </w:p>
    <w:p>
      <w:r>
        <w:t xml:space="preserve">  the model is well calibrated; deciles fall on the 45° line.</w:t>
      </w:r>
    </w:p>
    <w:p>
      <w:pPr>
        <w:pStyle w:val="Heading2"/>
      </w:pPr>
      <w:r>
        <w:t>Stage 9 — Comparison: switch~dist vs switch~dist+arsenic (PSIS-LOO)</w:t>
      </w:r>
    </w:p>
    <w:p>
      <w:pPr>
        <w:pStyle w:val="ListBullet"/>
      </w:pPr>
      <w:r>
        <w:rPr>
          <w:b/>
        </w:rPr>
        <w:t>Observed:</w:t>
      </w:r>
      <w:r>
        <w:t xml:space="preserve"> adding arsenic is </w:t>
      </w:r>
      <w:r>
        <w:rPr>
          <w:b/>
        </w:rPr>
        <w:t>decisive</w:t>
      </w:r>
      <w:r>
        <w:t xml:space="preserve"> — </w:t>
      </w:r>
      <w:r>
        <w:rPr>
          <w:rFonts w:ascii="Consolas" w:hAnsi="Consolas"/>
          <w:sz w:val="20"/>
        </w:rPr>
        <w:t>elpd_diff</w:t>
      </w:r>
      <w:r>
        <w:t xml:space="preserve"> = </w:t>
      </w:r>
      <w:r>
        <w:rPr>
          <w:b/>
        </w:rPr>
        <w:t>71.73 ± 12.13 SE</w:t>
      </w:r>
      <w:r>
        <w:t xml:space="preserve"> (≈ 6 SE) in favour of</w:t>
      </w:r>
    </w:p>
    <w:p>
      <w:r>
        <w:t xml:space="preserve">  </w:t>
      </w:r>
      <w:r>
        <w:rPr>
          <w:rFonts w:ascii="Consolas" w:hAnsi="Consolas"/>
          <w:sz w:val="20"/>
        </w:rPr>
        <w:t>dist+arsenic</w:t>
      </w:r>
      <w:r>
        <w:t xml:space="preserve">; stacking weight 0.94. </w:t>
      </w:r>
      <w:r>
        <w:rPr>
          <w:b/>
        </w:rPr>
        <w:t>Max Pareto-k̂ = 0.16 &lt; threshold 0.70</w:t>
      </w:r>
      <w:r>
        <w:t xml:space="preserve"> → LOO fully reliable.</w:t>
      </w:r>
    </w:p>
    <w:p>
      <w:pPr>
        <w:pStyle w:val="Heading2"/>
      </w:pPr>
      <w:r>
        <w:t>Stage 10 — Power-scaling prior sensitivity (b_ars, b_dist)</w:t>
      </w:r>
    </w:p>
    <w:p>
      <w:pPr>
        <w:pStyle w:val="ListBullet"/>
      </w:pPr>
      <w:r>
        <w:rPr>
          <w:b/>
        </w:rPr>
        <w:t>Observed:</w:t>
      </w:r>
      <w:r>
        <w:t xml:space="preserve"> E[b_ars] = 0.510 / 0.510 / 0.509 and E[b_dist] = −0.346 throughout α ∈ {0.8, 1.0, 1.25} —</w:t>
      </w:r>
    </w:p>
    <w:p>
      <w:r>
        <w:t xml:space="preserve">  completely flat. With n = 3020 the likelihood dominates; conclusions are data-driven.</w:t>
      </w:r>
    </w:p>
    <w:p>
      <w:pPr>
        <w:pStyle w:val="Heading2"/>
      </w:pPr>
      <w:r>
        <w:t>Stage 11 — Model expansion / iteration</w:t>
      </w:r>
    </w:p>
    <w:p>
      <w:r>
        <w:t xml:space="preserve">The ROS analysis adds an </w:t>
      </w:r>
      <w:r>
        <w:rPr>
          <w:b/>
        </w:rPr>
        <w:t>arsenic × distance interaction</w:t>
      </w:r>
      <w:r>
        <w:t xml:space="preserve">, an </w:t>
      </w:r>
      <w:r>
        <w:rPr>
          <w:b/>
        </w:rPr>
        <w:t>education</w:t>
      </w:r>
      <w:r>
        <w:t xml:space="preserve"> term, and a </w:t>
      </w:r>
      <w:r>
        <w:rPr>
          <w:b/>
        </w:rPr>
        <w:t>non-linear</w:t>
      </w:r>
    </w:p>
    <w:p>
      <w:r>
        <w:t>(log-arsenic / spline) effect. The interaction is the natural immediate expansion.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*households switch wells mainly because of </w:t>
      </w:r>
      <w:r>
        <w:rPr>
          <w:b/>
        </w:rPr>
        <w:t>how contaminated their water is</w:t>
      </w:r>
      <w:r>
        <w:t xml:space="preserve"> — each +1 sd</w:t>
      </w:r>
    </w:p>
    <w:p>
      <w:r>
        <w:t xml:space="preserve">of arsenic multiplies the odds of switching by ≈ </w:t>
      </w:r>
      <w:r>
        <w:rPr>
          <w:b/>
        </w:rPr>
        <w:t>1.67</w:t>
      </w:r>
      <w:r>
        <w:t xml:space="preserve"> — and are modestly deterred by </w:t>
      </w:r>
      <w:r>
        <w:rPr>
          <w:b/>
        </w:rPr>
        <w:t>distance</w:t>
      </w:r>
    </w:p>
    <w:p>
      <w:r>
        <w:t>(OR ≈ 0.71 per sd); arsenic dominates, and a model without it predicts switching far worse</w:t>
      </w:r>
    </w:p>
    <w:p>
      <w:r>
        <w:t>(elpd_diff 72 ± 12).* Limitation: observational; standardized arsenic is right-skewed, so a log/spline</w:t>
      </w:r>
    </w:p>
    <w:p>
      <w:r>
        <w:t>term may fit the low-arsenic tail better.</w:t>
      </w:r>
    </w:p>
    <w:p>
      <w:r>
        <w:t>*SBC is introduced at Tier 3 (P11); not required here.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