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pPr>
      <w:r>
        <w:rPr>
          <w:rFonts w:ascii="Calibri" w:hAnsi="Calibri"/>
          <w:b/>
          <w:i w:val="0"/>
          <w:color w:val="2F6DB5"/>
          <w:sz w:val="22"/>
        </w:rPr>
        <w:t>Causal Inference in Practice  ·  Instructor Teaching Guide</w:t>
      </w:r>
    </w:p>
    <w:p>
      <w:pPr>
        <w:spacing w:before="40" w:after="40"/>
      </w:pPr>
      <w:r>
        <w:rPr>
          <w:rFonts w:ascii="Calibri" w:hAnsi="Calibri"/>
          <w:b/>
          <w:i w:val="0"/>
          <w:color w:val="1F2A44"/>
          <w:sz w:val="48"/>
        </w:rPr>
        <w:t>Instructor Teaching Guide</w:t>
      </w:r>
    </w:p>
    <w:p>
      <w:pPr>
        <w:spacing w:before="0" w:after="0"/>
        <w:pBdr>
          <w:bottom w:val="single" w:sz="24" w:space="8" w:color="E9A23B"/>
        </w:pBdr>
      </w:pPr>
    </w:p>
    <w:p>
      <w:pPr>
        <w:spacing w:after="120"/>
      </w:pPr>
      <w:r>
        <w:rPr>
          <w:rFonts w:ascii="Calibri" w:hAnsi="Calibri"/>
          <w:b w:val="0"/>
          <w:i/>
          <w:color w:val="222732"/>
          <w:sz w:val="22"/>
        </w:rPr>
        <w:t>A 15-week graduate seminar. How to teach each week, where students stumble, what to grade, and what to cut when the clock runs out. Companion to the self-study packets, lecture decks, and practice notebooks — read it alongside them, not instead of them.</w:t>
      </w:r>
    </w:p>
    <w:p>
      <w:pPr>
        <w:spacing w:before="320" w:after="80"/>
        <w:pBdr>
          <w:left w:val="single" w:sz="18" w:space="8" w:color="2F6DB5"/>
        </w:pBdr>
        <w:ind w:left="115"/>
      </w:pPr>
      <w:r>
        <w:rPr>
          <w:rFonts w:ascii="Calibri" w:hAnsi="Calibri"/>
          <w:b/>
          <w:i w:val="0"/>
          <w:color w:val="1F2A44"/>
          <w:sz w:val="32"/>
        </w:rPr>
        <w:t>How this course is built</w:t>
      </w:r>
    </w:p>
    <w:p>
      <w:pPr>
        <w:spacing w:after="120"/>
      </w:pPr>
      <w:r>
        <w:rPr>
          <w:rFonts w:ascii="Calibri" w:hAnsi="Calibri"/>
          <w:b w:val="0"/>
          <w:i w:val="0"/>
          <w:color w:val="222732"/>
          <w:sz w:val="22"/>
        </w:rPr>
        <w:t>This seminar has one organizing idea: a causal estimate is an ASSUMPTION paired with an ESTIMATOR. Each week names an assumption you are willing to defend, then hands you the estimator that assumption licenses. Students who internalize that pairing can place any new method; students who memorize estimators cannot.</w:t>
      </w:r>
    </w:p>
    <w:p>
      <w:pPr>
        <w:spacing w:before="160" w:after="0"/>
        <w:shd w:val="clear" w:color="auto" w:fill="ECEEF2"/>
        <w:pBdr>
          <w:left w:val="single" w:sz="24" w:space="8" w:color="2A9D8F"/>
        </w:pBdr>
      </w:pPr>
      <w:r>
        <w:rPr>
          <w:rFonts w:ascii="Calibri" w:hAnsi="Calibri"/>
          <w:b/>
          <w:i w:val="0"/>
          <w:color w:val="2A9D8F"/>
          <w:sz w:val="22"/>
        </w:rPr>
        <w:t>The five-step workflow (repeat it every week)</w:t>
      </w:r>
    </w:p>
    <w:p>
      <w:pPr>
        <w:spacing w:before="0" w:after="40"/>
        <w:shd w:val="clear" w:color="auto" w:fill="ECEEF2"/>
        <w:pBdr>
          <w:left w:val="single" w:sz="24" w:space="8" w:color="2A9D8F"/>
        </w:pBdr>
      </w:pPr>
      <w:r>
        <w:rPr>
          <w:rFonts w:ascii="Calibri" w:hAnsi="Calibri"/>
          <w:b w:val="0"/>
          <w:i w:val="0"/>
          <w:color w:val="222732"/>
          <w:sz w:val="21"/>
        </w:rPr>
        <w:t>1. Question -&gt; estimand. Write the effect in potential-outcomes terms and say for whom (ATE / ATT / CATE / LATE).</w:t>
      </w:r>
    </w:p>
    <w:p>
      <w:pPr>
        <w:spacing w:before="0" w:after="40"/>
        <w:shd w:val="clear" w:color="auto" w:fill="ECEEF2"/>
        <w:pBdr>
          <w:left w:val="single" w:sz="24" w:space="8" w:color="2A9D8F"/>
        </w:pBdr>
      </w:pPr>
      <w:r>
        <w:rPr>
          <w:rFonts w:ascii="Calibri" w:hAnsi="Calibri"/>
          <w:b w:val="0"/>
          <w:i w:val="0"/>
          <w:color w:val="222732"/>
          <w:sz w:val="21"/>
        </w:rPr>
        <w:t>2. Assumptions -&gt; identification. Draw the DAG; name what must hold (exchangeability, positivity, exclusion, parallel trends, ...).</w:t>
      </w:r>
    </w:p>
    <w:p>
      <w:pPr>
        <w:spacing w:before="0" w:after="40"/>
        <w:shd w:val="clear" w:color="auto" w:fill="ECEEF2"/>
        <w:pBdr>
          <w:left w:val="single" w:sz="24" w:space="8" w:color="2A9D8F"/>
        </w:pBdr>
      </w:pPr>
      <w:r>
        <w:rPr>
          <w:rFonts w:ascii="Calibri" w:hAnsi="Calibri"/>
          <w:b w:val="0"/>
          <w:i w:val="0"/>
          <w:color w:val="222732"/>
          <w:sz w:val="21"/>
        </w:rPr>
        <w:t>3. Estimator. Choose the method the assumptions license, not the fanciest one available.</w:t>
      </w:r>
    </w:p>
    <w:p>
      <w:pPr>
        <w:spacing w:before="0" w:after="40"/>
        <w:shd w:val="clear" w:color="auto" w:fill="ECEEF2"/>
        <w:pBdr>
          <w:left w:val="single" w:sz="24" w:space="8" w:color="2A9D8F"/>
        </w:pBdr>
      </w:pPr>
      <w:r>
        <w:rPr>
          <w:rFonts w:ascii="Calibri" w:hAnsi="Calibri"/>
          <w:b w:val="0"/>
          <w:i w:val="0"/>
          <w:color w:val="222732"/>
          <w:sz w:val="21"/>
        </w:rPr>
        <w:t>4. Estimate + diagnose. Fit it; check the diagnostics that earn it (balance, overlap, first-stage F, pre-trends, placebo tests).</w:t>
      </w:r>
    </w:p>
    <w:p>
      <w:pPr>
        <w:spacing w:before="0" w:after="40"/>
        <w:shd w:val="clear" w:color="auto" w:fill="ECEEF2"/>
        <w:pBdr>
          <w:left w:val="single" w:sz="24" w:space="8" w:color="2A9D8F"/>
        </w:pBdr>
      </w:pPr>
      <w:r>
        <w:rPr>
          <w:rFonts w:ascii="Calibri" w:hAnsi="Calibri"/>
          <w:b w:val="0"/>
          <w:i w:val="0"/>
          <w:color w:val="222732"/>
          <w:sz w:val="21"/>
        </w:rPr>
        <w:t>5. Sensitivity + honest sentence. Say what would overturn the result and state it to a decision-maker without over- or under-claiming.</w:t>
      </w:r>
    </w:p>
    <w:p>
      <w:pPr>
        <w:spacing w:before="0" w:after="0"/>
      </w:pPr>
    </w:p>
    <w:p>
      <w:pPr>
        <w:spacing w:before="200" w:after="40"/>
      </w:pPr>
      <w:r>
        <w:rPr>
          <w:rFonts w:ascii="Calibri" w:hAnsi="Calibri"/>
          <w:b/>
          <w:i w:val="0"/>
          <w:color w:val="2F6DB5"/>
          <w:sz w:val="26"/>
        </w:rPr>
        <w:t>How each week is structured</w:t>
      </w:r>
    </w:p>
    <w:p>
      <w:pPr>
        <w:spacing w:after="120"/>
      </w:pPr>
      <w:r>
        <w:rPr>
          <w:rFonts w:ascii="Calibri" w:hAnsi="Calibri"/>
          <w:b w:val="0"/>
          <w:i w:val="0"/>
          <w:color w:val="222732"/>
          <w:sz w:val="22"/>
        </w:rPr>
        <w:t>Every week ships three coordinated, fully generated deliverables, all driven from one content module so the whole course shares one look and one workflow:</w:t>
      </w:r>
    </w:p>
    <w:p>
      <w:pPr>
        <w:pStyle w:val="ListBullet"/>
        <w:spacing w:after="60"/>
      </w:pPr>
      <w:r>
        <w:rPr>
          <w:rFonts w:ascii="Calibri" w:hAnsi="Calibri"/>
          <w:b/>
          <w:i w:val="0"/>
          <w:color w:val="222732"/>
          <w:sz w:val="22"/>
        </w:rPr>
        <w:t xml:space="preserve">Self-study packet (.docx). </w:t>
      </w:r>
      <w:r>
        <w:rPr>
          <w:rFonts w:ascii="Calibri" w:hAnsi="Calibri"/>
          <w:b w:val="0"/>
          <w:i w:val="0"/>
          <w:color w:val="222732"/>
          <w:sz w:val="22"/>
        </w:rPr>
        <w:t>Readings, a concept refresher, a problem set WITH full solutions, the lab, and a self-check. ~5-7 h after lecture.</w:t>
      </w:r>
    </w:p>
    <w:p>
      <w:pPr>
        <w:pStyle w:val="ListBullet"/>
        <w:spacing w:after="60"/>
      </w:pPr>
      <w:r>
        <w:rPr>
          <w:rFonts w:ascii="Calibri" w:hAnsi="Calibri"/>
          <w:b/>
          <w:i w:val="0"/>
          <w:color w:val="222732"/>
          <w:sz w:val="22"/>
        </w:rPr>
        <w:t xml:space="preserve">Lecture deck (.pptx). </w:t>
      </w:r>
      <w:r>
        <w:rPr>
          <w:rFonts w:ascii="Calibri" w:hAnsi="Calibri"/>
          <w:b w:val="0"/>
          <w:i w:val="0"/>
          <w:color w:val="222732"/>
          <w:sz w:val="22"/>
        </w:rPr>
        <w:t>The ~35-slide lecture: theory, the assumptions, and a real worked case.</w:t>
      </w:r>
    </w:p>
    <w:p>
      <w:pPr>
        <w:pStyle w:val="ListBullet"/>
        <w:spacing w:after="60"/>
      </w:pPr>
      <w:r>
        <w:rPr>
          <w:rFonts w:ascii="Calibri" w:hAnsi="Calibri"/>
          <w:b/>
          <w:i w:val="0"/>
          <w:color w:val="222732"/>
          <w:sz w:val="22"/>
        </w:rPr>
        <w:t xml:space="preserve">Practice notebook (.ipynb). </w:t>
      </w:r>
      <w:r>
        <w:rPr>
          <w:rFonts w:ascii="Calibri" w:hAnsi="Calibri"/>
          <w:b w:val="0"/>
          <w:i w:val="0"/>
          <w:color w:val="222732"/>
          <w:sz w:val="22"/>
        </w:rPr>
        <w:t>Runnable worked examples and graded-style exercises. Every dataset is simulated with a KNOWN ground truth, so a student can always confirm their estimate recovered the right answer — and so can you when grading.</w:t>
      </w:r>
    </w:p>
    <w:p>
      <w:pPr>
        <w:spacing w:after="120"/>
      </w:pPr>
      <w:r>
        <w:rPr>
          <w:rFonts w:ascii="Calibri" w:hAnsi="Calibri"/>
          <w:b/>
          <w:i w:val="0"/>
          <w:color w:val="222732"/>
          <w:sz w:val="22"/>
        </w:rPr>
        <w:t xml:space="preserve">Teaching consequence: </w:t>
      </w:r>
      <w:r>
        <w:rPr>
          <w:rFonts w:ascii="Calibri" w:hAnsi="Calibri"/>
          <w:b w:val="0"/>
          <w:i w:val="0"/>
          <w:color w:val="222732"/>
          <w:sz w:val="22"/>
        </w:rPr>
        <w:t>because the truth is known, labs are fast to grade — you check whether the recovered estimate matches the planted effect and whether the required diagnostics were actually run.</w:t>
      </w:r>
    </w:p>
    <w:p>
      <w:pPr>
        <w:spacing w:before="200" w:after="40"/>
      </w:pPr>
      <w:r>
        <w:rPr>
          <w:rFonts w:ascii="Calibri" w:hAnsi="Calibri"/>
          <w:b/>
          <w:i w:val="0"/>
          <w:color w:val="2F6DB5"/>
          <w:sz w:val="26"/>
        </w:rPr>
        <w:t>Assessment at a glance</w:t>
      </w:r>
    </w:p>
    <w:tbl>
      <w:tblPr>
        <w:tblStyle w:val="TableGrid"/>
        <w:tblW w:type="auto" w:w="0"/>
        <w:jc w:val="center"/>
        <w:tblLook w:firstColumn="1" w:firstRow="1" w:lastColumn="0" w:lastRow="0" w:noHBand="0" w:noVBand="1" w:val="04A0"/>
      </w:tblPr>
      <w:tblGrid>
        <w:gridCol w:w="2412"/>
        <w:gridCol w:w="2412"/>
        <w:gridCol w:w="2412"/>
        <w:gridCol w:w="2412"/>
      </w:tblGrid>
      <w:tr>
        <w:tc>
          <w:tcPr>
            <w:tcW w:type="dxa" w:w="2412"/>
            <w:shd w:val="clear" w:color="auto" w:fill="1F2A44"/>
          </w:tcPr>
          <w:p>
            <w:r>
              <w:rPr>
                <w:rFonts w:ascii="Calibri" w:hAnsi="Calibri"/>
                <w:b/>
                <w:i w:val="0"/>
                <w:color w:val="FFFFFF"/>
                <w:sz w:val="21"/>
              </w:rPr>
              <w:t>Component</w:t>
            </w:r>
          </w:p>
        </w:tc>
        <w:tc>
          <w:tcPr>
            <w:tcW w:type="dxa" w:w="2412"/>
            <w:shd w:val="clear" w:color="auto" w:fill="1F2A44"/>
          </w:tcPr>
          <w:p>
            <w:r>
              <w:rPr>
                <w:rFonts w:ascii="Calibri" w:hAnsi="Calibri"/>
                <w:b/>
                <w:i w:val="0"/>
                <w:color w:val="FFFFFF"/>
                <w:sz w:val="21"/>
              </w:rPr>
              <w:t>Weight</w:t>
            </w:r>
          </w:p>
        </w:tc>
        <w:tc>
          <w:tcPr>
            <w:tcW w:type="dxa" w:w="2412"/>
            <w:shd w:val="clear" w:color="auto" w:fill="1F2A44"/>
          </w:tcPr>
          <w:p>
            <w:r>
              <w:rPr>
                <w:rFonts w:ascii="Calibri" w:hAnsi="Calibri"/>
                <w:b/>
                <w:i w:val="0"/>
                <w:color w:val="FFFFFF"/>
                <w:sz w:val="21"/>
              </w:rPr>
              <w:t>When</w:t>
            </w:r>
          </w:p>
        </w:tc>
        <w:tc>
          <w:tcPr>
            <w:tcW w:type="dxa" w:w="2412"/>
            <w:shd w:val="clear" w:color="auto" w:fill="1F2A44"/>
          </w:tcPr>
          <w:p>
            <w:r>
              <w:rPr>
                <w:rFonts w:ascii="Calibri" w:hAnsi="Calibri"/>
                <w:b/>
                <w:i w:val="0"/>
                <w:color w:val="FFFFFF"/>
                <w:sz w:val="21"/>
              </w:rPr>
              <w:t>What it tests</w:t>
            </w:r>
          </w:p>
        </w:tc>
      </w:tr>
      <w:tr>
        <w:tc>
          <w:tcPr>
            <w:tcW w:type="dxa" w:w="2412"/>
          </w:tcPr>
          <w:p>
            <w:r>
              <w:rPr>
                <w:rFonts w:ascii="Calibri" w:hAnsi="Calibri"/>
                <w:b w:val="0"/>
                <w:i w:val="0"/>
                <w:color w:val="222732"/>
                <w:sz w:val="21"/>
              </w:rPr>
              <w:t>Problem sets</w:t>
            </w:r>
          </w:p>
        </w:tc>
        <w:tc>
          <w:tcPr>
            <w:tcW w:type="dxa" w:w="2412"/>
          </w:tcPr>
          <w:p>
            <w:r>
              <w:rPr>
                <w:rFonts w:ascii="Calibri" w:hAnsi="Calibri"/>
                <w:b w:val="0"/>
                <w:i w:val="0"/>
                <w:color w:val="222732"/>
                <w:sz w:val="21"/>
              </w:rPr>
              <w:t>20%</w:t>
            </w:r>
          </w:p>
        </w:tc>
        <w:tc>
          <w:tcPr>
            <w:tcW w:type="dxa" w:w="2412"/>
          </w:tcPr>
          <w:p>
            <w:r>
              <w:rPr>
                <w:rFonts w:ascii="Calibri" w:hAnsi="Calibri"/>
                <w:b w:val="0"/>
                <w:i w:val="0"/>
                <w:color w:val="222732"/>
                <w:sz w:val="21"/>
              </w:rPr>
              <w:t>Weeks 1-14</w:t>
            </w:r>
          </w:p>
        </w:tc>
        <w:tc>
          <w:tcPr>
            <w:tcW w:type="dxa" w:w="2412"/>
          </w:tcPr>
          <w:p>
            <w:r>
              <w:rPr>
                <w:rFonts w:ascii="Calibri" w:hAnsi="Calibri"/>
                <w:b w:val="0"/>
                <w:i w:val="0"/>
                <w:color w:val="222732"/>
                <w:sz w:val="21"/>
              </w:rPr>
              <w:t>Conceptual fluency: estimands, assumptions, good vs. bad controls.</w:t>
            </w:r>
          </w:p>
        </w:tc>
      </w:tr>
      <w:tr>
        <w:tc>
          <w:tcPr>
            <w:tcW w:type="dxa" w:w="2412"/>
            <w:shd w:val="clear" w:color="auto" w:fill="ECEEF2"/>
          </w:tcPr>
          <w:p>
            <w:r>
              <w:rPr>
                <w:rFonts w:ascii="Calibri" w:hAnsi="Calibri"/>
                <w:b w:val="0"/>
                <w:i w:val="0"/>
                <w:color w:val="222732"/>
                <w:sz w:val="21"/>
              </w:rPr>
              <w:t>Labs</w:t>
            </w:r>
          </w:p>
        </w:tc>
        <w:tc>
          <w:tcPr>
            <w:tcW w:type="dxa" w:w="2412"/>
            <w:shd w:val="clear" w:color="auto" w:fill="ECEEF2"/>
          </w:tcPr>
          <w:p>
            <w:r>
              <w:rPr>
                <w:rFonts w:ascii="Calibri" w:hAnsi="Calibri"/>
                <w:b w:val="0"/>
                <w:i w:val="0"/>
                <w:color w:val="222732"/>
                <w:sz w:val="21"/>
              </w:rPr>
              <w:t>25%</w:t>
            </w:r>
          </w:p>
        </w:tc>
        <w:tc>
          <w:tcPr>
            <w:tcW w:type="dxa" w:w="2412"/>
            <w:shd w:val="clear" w:color="auto" w:fill="ECEEF2"/>
          </w:tcPr>
          <w:p>
            <w:r>
              <w:rPr>
                <w:rFonts w:ascii="Calibri" w:hAnsi="Calibri"/>
                <w:b w:val="0"/>
                <w:i w:val="0"/>
                <w:color w:val="222732"/>
                <w:sz w:val="21"/>
              </w:rPr>
              <w:t>Weeks 1-14</w:t>
            </w:r>
          </w:p>
        </w:tc>
        <w:tc>
          <w:tcPr>
            <w:tcW w:type="dxa" w:w="2412"/>
            <w:shd w:val="clear" w:color="auto" w:fill="ECEEF2"/>
          </w:tcPr>
          <w:p>
            <w:r>
              <w:rPr>
                <w:rFonts w:ascii="Calibri" w:hAnsi="Calibri"/>
                <w:b w:val="0"/>
                <w:i w:val="0"/>
                <w:color w:val="222732"/>
                <w:sz w:val="21"/>
              </w:rPr>
              <w:t>End-to-end execution against a known ground truth; correct diagnostics.</w:t>
            </w:r>
          </w:p>
        </w:tc>
      </w:tr>
      <w:tr>
        <w:tc>
          <w:tcPr>
            <w:tcW w:type="dxa" w:w="2412"/>
          </w:tcPr>
          <w:p>
            <w:r>
              <w:rPr>
                <w:rFonts w:ascii="Calibri" w:hAnsi="Calibri"/>
                <w:b w:val="0"/>
                <w:i w:val="0"/>
                <w:color w:val="222732"/>
                <w:sz w:val="21"/>
              </w:rPr>
              <w:t>Midterm</w:t>
            </w:r>
          </w:p>
        </w:tc>
        <w:tc>
          <w:tcPr>
            <w:tcW w:type="dxa" w:w="2412"/>
          </w:tcPr>
          <w:p>
            <w:r>
              <w:rPr>
                <w:rFonts w:ascii="Calibri" w:hAnsi="Calibri"/>
                <w:b w:val="0"/>
                <w:i w:val="0"/>
                <w:color w:val="222732"/>
                <w:sz w:val="21"/>
              </w:rPr>
              <w:t>20%</w:t>
            </w:r>
          </w:p>
        </w:tc>
        <w:tc>
          <w:tcPr>
            <w:tcW w:type="dxa" w:w="2412"/>
          </w:tcPr>
          <w:p>
            <w:r>
              <w:rPr>
                <w:rFonts w:ascii="Calibri" w:hAnsi="Calibri"/>
                <w:b w:val="0"/>
                <w:i w:val="0"/>
                <w:color w:val="222732"/>
                <w:sz w:val="21"/>
              </w:rPr>
              <w:t>Week 8</w:t>
            </w:r>
          </w:p>
        </w:tc>
        <w:tc>
          <w:tcPr>
            <w:tcW w:type="dxa" w:w="2412"/>
          </w:tcPr>
          <w:p>
            <w:r>
              <w:rPr>
                <w:rFonts w:ascii="Calibri" w:hAnsi="Calibri"/>
                <w:b w:val="0"/>
                <w:i w:val="0"/>
                <w:color w:val="222732"/>
                <w:sz w:val="21"/>
              </w:rPr>
              <w:t>Cumulative over Weeks 1-7 (Foundations + adjustment for confounding).</w:t>
            </w:r>
          </w:p>
        </w:tc>
      </w:tr>
      <w:tr>
        <w:tc>
          <w:tcPr>
            <w:tcW w:type="dxa" w:w="2412"/>
            <w:shd w:val="clear" w:color="auto" w:fill="ECEEF2"/>
          </w:tcPr>
          <w:p>
            <w:r>
              <w:rPr>
                <w:rFonts w:ascii="Calibri" w:hAnsi="Calibri"/>
                <w:b w:val="0"/>
                <w:i w:val="0"/>
                <w:color w:val="222732"/>
                <w:sz w:val="21"/>
              </w:rPr>
              <w:t>Capstone</w:t>
            </w:r>
          </w:p>
        </w:tc>
        <w:tc>
          <w:tcPr>
            <w:tcW w:type="dxa" w:w="2412"/>
            <w:shd w:val="clear" w:color="auto" w:fill="ECEEF2"/>
          </w:tcPr>
          <w:p>
            <w:r>
              <w:rPr>
                <w:rFonts w:ascii="Calibri" w:hAnsi="Calibri"/>
                <w:b w:val="0"/>
                <w:i w:val="0"/>
                <w:color w:val="222732"/>
                <w:sz w:val="21"/>
              </w:rPr>
              <w:t>30%</w:t>
            </w:r>
          </w:p>
        </w:tc>
        <w:tc>
          <w:tcPr>
            <w:tcW w:type="dxa" w:w="2412"/>
            <w:shd w:val="clear" w:color="auto" w:fill="ECEEF2"/>
          </w:tcPr>
          <w:p>
            <w:r>
              <w:rPr>
                <w:rFonts w:ascii="Calibri" w:hAnsi="Calibri"/>
                <w:b w:val="0"/>
                <w:i w:val="0"/>
                <w:color w:val="222732"/>
                <w:sz w:val="21"/>
              </w:rPr>
              <w:t>Week 15</w:t>
            </w:r>
          </w:p>
        </w:tc>
        <w:tc>
          <w:tcPr>
            <w:tcW w:type="dxa" w:w="2412"/>
            <w:shd w:val="clear" w:color="auto" w:fill="ECEEF2"/>
          </w:tcPr>
          <w:p>
            <w:r>
              <w:rPr>
                <w:rFonts w:ascii="Calibri" w:hAnsi="Calibri"/>
                <w:b w:val="0"/>
                <w:i w:val="0"/>
                <w:color w:val="222732"/>
                <w:sz w:val="21"/>
              </w:rPr>
              <w:t>A defensible, reproducible analysis: report + presentation.</w:t>
            </w:r>
          </w:p>
        </w:tc>
      </w:tr>
      <w:tr>
        <w:tc>
          <w:tcPr>
            <w:tcW w:type="dxa" w:w="2412"/>
          </w:tcPr>
          <w:p>
            <w:r>
              <w:rPr>
                <w:rFonts w:ascii="Calibri" w:hAnsi="Calibri"/>
                <w:b w:val="0"/>
                <w:i w:val="0"/>
                <w:color w:val="222732"/>
                <w:sz w:val="21"/>
              </w:rPr>
              <w:t>Participation</w:t>
            </w:r>
          </w:p>
        </w:tc>
        <w:tc>
          <w:tcPr>
            <w:tcW w:type="dxa" w:w="2412"/>
          </w:tcPr>
          <w:p>
            <w:r>
              <w:rPr>
                <w:rFonts w:ascii="Calibri" w:hAnsi="Calibri"/>
                <w:b w:val="0"/>
                <w:i w:val="0"/>
                <w:color w:val="222732"/>
                <w:sz w:val="21"/>
              </w:rPr>
              <w:t>5%</w:t>
            </w:r>
          </w:p>
        </w:tc>
        <w:tc>
          <w:tcPr>
            <w:tcW w:type="dxa" w:w="2412"/>
          </w:tcPr>
          <w:p>
            <w:r>
              <w:rPr>
                <w:rFonts w:ascii="Calibri" w:hAnsi="Calibri"/>
                <w:b w:val="0"/>
                <w:i w:val="0"/>
                <w:color w:val="222732"/>
                <w:sz w:val="21"/>
              </w:rPr>
              <w:t>Throughout</w:t>
            </w:r>
          </w:p>
        </w:tc>
        <w:tc>
          <w:tcPr>
            <w:tcW w:type="dxa" w:w="2412"/>
          </w:tcPr>
          <w:p>
            <w:r>
              <w:rPr>
                <w:rFonts w:ascii="Calibri" w:hAnsi="Calibri"/>
                <w:b w:val="0"/>
                <w:i w:val="0"/>
                <w:color w:val="222732"/>
                <w:sz w:val="21"/>
              </w:rPr>
              <w:t>Discussion, peer feedback, office-hours engagement.</w:t>
            </w:r>
          </w:p>
        </w:tc>
      </w:tr>
    </w:tbl>
    <w:p>
      <w:pPr>
        <w:spacing w:after="40"/>
      </w:pPr>
    </w:p>
    <w:p>
      <w:pPr>
        <w:spacing w:after="120"/>
      </w:pPr>
      <w:r>
        <w:rPr>
          <w:rFonts w:ascii="Calibri" w:hAnsi="Calibri"/>
          <w:b w:val="0"/>
          <w:i/>
          <w:color w:val="222732"/>
          <w:sz w:val="22"/>
        </w:rPr>
        <w:t>The four course blocks: I Foundations (Wk 1-4), II Adjustment for confounding (Wk 5-7), III Quasi-experimental designs (Wk 8-11), IV Modern methods &amp; application (Wk 12-15).</w:t>
      </w:r>
    </w:p>
    <w:p>
      <w:pPr>
        <w:spacing w:before="320" w:after="80"/>
        <w:pBdr>
          <w:left w:val="single" w:sz="18" w:space="8" w:color="2F6DB5"/>
        </w:pBdr>
        <w:ind w:left="115"/>
      </w:pPr>
      <w:r>
        <w:rPr>
          <w:rFonts w:ascii="Calibri" w:hAnsi="Calibri"/>
          <w:b/>
          <w:i w:val="0"/>
          <w:color w:val="1F2A44"/>
          <w:sz w:val="32"/>
        </w:rPr>
        <w:t>Teaching the weeks</w:t>
      </w:r>
    </w:p>
    <w:p>
      <w:pPr>
        <w:spacing w:after="120"/>
      </w:pPr>
      <w:r>
        <w:rPr>
          <w:rFonts w:ascii="Calibri" w:hAnsi="Calibri"/>
          <w:b w:val="0"/>
          <w:i/>
          <w:color w:val="222732"/>
          <w:sz w:val="22"/>
        </w:rPr>
        <w:t>Each section below gives: the one-sentence point, the ideas students MUST leave with, where they stumble, discussion prompts, lecture moments to slow down on, the deliverable with a grading-effort estimate, and a cut/keep note for tight weeks.</w:t>
      </w:r>
    </w:p>
    <w:p>
      <w:pPr>
        <w:spacing w:before="200" w:after="40"/>
      </w:pPr>
      <w:r>
        <w:rPr>
          <w:rFonts w:ascii="Calibri" w:hAnsi="Calibri"/>
          <w:b/>
          <w:i w:val="0"/>
          <w:color w:val="2F6DB5"/>
          <w:sz w:val="26"/>
        </w:rPr>
        <w:t>Week 1 — The Causal Question</w:t>
      </w:r>
    </w:p>
    <w:p>
      <w:pPr>
        <w:spacing w:after="120"/>
      </w:pPr>
      <w:r>
        <w:rPr>
          <w:rFonts w:ascii="Calibri" w:hAnsi="Calibri"/>
          <w:b w:val="0"/>
          <w:i/>
          <w:color w:val="7F8694"/>
          <w:sz w:val="22"/>
        </w:rPr>
        <w:t>Block I — Foundations</w:t>
      </w:r>
    </w:p>
    <w:p>
      <w:pPr>
        <w:spacing w:after="120"/>
      </w:pPr>
      <w:r>
        <w:rPr>
          <w:rFonts w:ascii="Calibri" w:hAnsi="Calibri"/>
          <w:b/>
          <w:i w:val="0"/>
          <w:color w:val="2F6DB5"/>
          <w:sz w:val="22"/>
        </w:rPr>
        <w:t xml:space="preserve">The point.  </w:t>
      </w:r>
      <w:r>
        <w:rPr>
          <w:rFonts w:ascii="Calibri" w:hAnsi="Calibri"/>
          <w:b w:val="0"/>
          <w:i w:val="0"/>
          <w:color w:val="222732"/>
          <w:sz w:val="22"/>
        </w:rPr>
        <w:t>Prediction answers 'what goes with what'; causal inference answers 'what happens if we intervene' — and confounding, reverse causation, and selection are what pry the two apart.</w:t>
      </w:r>
    </w:p>
    <w:p>
      <w:pPr>
        <w:spacing w:after="120"/>
      </w:pPr>
      <w:r>
        <w:rPr>
          <w:rFonts w:ascii="Calibri" w:hAnsi="Calibri"/>
          <w:b/>
          <w:i w:val="0"/>
          <w:color w:val="222732"/>
          <w:sz w:val="22"/>
        </w:rPr>
        <w:t>Students must leave with:</w:t>
      </w:r>
    </w:p>
    <w:p>
      <w:pPr>
        <w:pStyle w:val="ListBullet"/>
        <w:spacing w:after="60"/>
      </w:pPr>
      <w:r>
        <w:rPr>
          <w:rFonts w:ascii="Calibri" w:hAnsi="Calibri"/>
          <w:b w:val="0"/>
          <w:i w:val="0"/>
          <w:color w:val="222732"/>
          <w:sz w:val="22"/>
        </w:rPr>
        <w:t>P(Y | do(X)) is a different object from P(Y | X); the do-operator means 'set X', not 'observe X'.</w:t>
      </w:r>
    </w:p>
    <w:p>
      <w:pPr>
        <w:pStyle w:val="ListBullet"/>
        <w:spacing w:after="60"/>
      </w:pPr>
      <w:r>
        <w:rPr>
          <w:rFonts w:ascii="Calibri" w:hAnsi="Calibri"/>
          <w:b w:val="0"/>
          <w:i w:val="0"/>
          <w:color w:val="222732"/>
          <w:sz w:val="22"/>
        </w:rPr>
        <w:t>A third variable is a confounder, a collider, or a mediator — and the label, not the data, decides whether you adjust for it.</w:t>
      </w:r>
    </w:p>
    <w:p>
      <w:pPr>
        <w:pStyle w:val="ListBullet"/>
        <w:spacing w:after="60"/>
      </w:pPr>
      <w:r>
        <w:rPr>
          <w:rFonts w:ascii="Calibri" w:hAnsi="Calibri"/>
          <w:b w:val="0"/>
          <w:i w:val="0"/>
          <w:color w:val="222732"/>
          <w:sz w:val="22"/>
        </w:rPr>
        <w:t>Adjusting for a confounder removes bias; adjusting for a collider or mediator manufactures it.</w:t>
      </w:r>
    </w:p>
    <w:p>
      <w:pPr>
        <w:spacing w:after="120"/>
      </w:pPr>
      <w:r>
        <w:rPr>
          <w:rFonts w:ascii="Calibri" w:hAnsi="Calibri"/>
          <w:b/>
          <w:i w:val="0"/>
          <w:color w:val="C0504D"/>
          <w:sz w:val="22"/>
        </w:rPr>
        <w:t>Where they stumble:</w:t>
      </w:r>
    </w:p>
    <w:p>
      <w:pPr>
        <w:pStyle w:val="ListBullet"/>
        <w:spacing w:after="60"/>
      </w:pPr>
      <w:r>
        <w:rPr>
          <w:rFonts w:ascii="Calibri" w:hAnsi="Calibri"/>
          <w:b w:val="0"/>
          <w:i w:val="0"/>
          <w:color w:val="222732"/>
          <w:sz w:val="22"/>
        </w:rPr>
        <w:t>Students reflexively 'control for everything available' — the habit this whole course exists to break. Plant the flag here.</w:t>
      </w:r>
    </w:p>
    <w:p>
      <w:pPr>
        <w:pStyle w:val="ListBullet"/>
        <w:spacing w:after="60"/>
      </w:pPr>
      <w:r>
        <w:rPr>
          <w:rFonts w:ascii="Calibri" w:hAnsi="Calibri"/>
          <w:b w:val="0"/>
          <w:i w:val="0"/>
          <w:color w:val="222732"/>
          <w:sz w:val="22"/>
        </w:rPr>
        <w:t>Collider bias is the least intuitive of the three; the hospitalized-patients example lands better than an abstract DAG.</w:t>
      </w:r>
    </w:p>
    <w:p>
      <w:pPr>
        <w:pStyle w:val="ListBullet"/>
        <w:spacing w:after="60"/>
      </w:pPr>
      <w:r>
        <w:rPr>
          <w:rFonts w:ascii="Calibri" w:hAnsi="Calibri"/>
          <w:b w:val="0"/>
          <w:i w:val="0"/>
          <w:color w:val="222732"/>
          <w:sz w:val="22"/>
        </w:rPr>
        <w:t>Some arrive expecting a coding course and underweight the conceptual vocabulary — stress that the vocabulary is the deliverable.</w:t>
      </w:r>
    </w:p>
    <w:p>
      <w:pPr>
        <w:spacing w:after="120"/>
      </w:pPr>
      <w:r>
        <w:rPr>
          <w:rFonts w:ascii="Calibri" w:hAnsi="Calibri"/>
          <w:b/>
          <w:i w:val="0"/>
          <w:color w:val="222732"/>
          <w:sz w:val="22"/>
        </w:rPr>
        <w:t>Discussion prompts:</w:t>
      </w:r>
    </w:p>
    <w:p>
      <w:pPr>
        <w:pStyle w:val="ListBullet"/>
        <w:spacing w:after="60"/>
      </w:pPr>
      <w:r>
        <w:rPr>
          <w:rFonts w:ascii="Calibri" w:hAnsi="Calibri"/>
          <w:b/>
          <w:i w:val="0"/>
          <w:color w:val="222732"/>
          <w:sz w:val="22"/>
        </w:rPr>
        <w:t xml:space="preserve">1. </w:t>
      </w:r>
      <w:r>
        <w:rPr>
          <w:rFonts w:ascii="Calibri" w:hAnsi="Calibri"/>
          <w:b w:val="0"/>
          <w:i w:val="0"/>
          <w:color w:val="222732"/>
          <w:sz w:val="22"/>
        </w:rPr>
        <w:t>Name a prediction your phone makes daily that would be useless as an intervention. Why does it still work as a prediction?</w:t>
      </w:r>
    </w:p>
    <w:p>
      <w:pPr>
        <w:pStyle w:val="ListBullet"/>
        <w:spacing w:after="60"/>
      </w:pPr>
      <w:r>
        <w:rPr>
          <w:rFonts w:ascii="Calibri" w:hAnsi="Calibri"/>
          <w:b/>
          <w:i w:val="0"/>
          <w:color w:val="222732"/>
          <w:sz w:val="22"/>
        </w:rPr>
        <w:t xml:space="preserve">2. </w:t>
      </w:r>
      <w:r>
        <w:rPr>
          <w:rFonts w:ascii="Calibri" w:hAnsi="Calibri"/>
          <w:b w:val="0"/>
          <w:i w:val="0"/>
          <w:color w:val="222732"/>
          <w:sz w:val="22"/>
        </w:rPr>
        <w:t>Give a real headline where reverse causation is the more plausible story than the one reported.</w:t>
      </w:r>
    </w:p>
    <w:p>
      <w:pPr>
        <w:pStyle w:val="ListBullet"/>
        <w:spacing w:after="60"/>
      </w:pPr>
      <w:r>
        <w:rPr>
          <w:rFonts w:ascii="Calibri" w:hAnsi="Calibri"/>
          <w:b/>
          <w:i w:val="0"/>
          <w:color w:val="222732"/>
          <w:sz w:val="22"/>
        </w:rPr>
        <w:t xml:space="preserve">3. </w:t>
      </w:r>
      <w:r>
        <w:rPr>
          <w:rFonts w:ascii="Calibri" w:hAnsi="Calibri"/>
          <w:b w:val="0"/>
          <w:i w:val="0"/>
          <w:color w:val="222732"/>
          <w:sz w:val="22"/>
        </w:rPr>
        <w:t>When could adjusting for MORE variables make an estimate worse?</w:t>
      </w:r>
    </w:p>
    <w:p>
      <w:pPr>
        <w:spacing w:after="120"/>
      </w:pPr>
      <w:r>
        <w:rPr>
          <w:rFonts w:ascii="Calibri" w:hAnsi="Calibri"/>
          <w:b/>
          <w:i w:val="0"/>
          <w:color w:val="222732"/>
          <w:sz w:val="22"/>
        </w:rPr>
        <w:t>Slow down on:</w:t>
      </w:r>
    </w:p>
    <w:p>
      <w:pPr>
        <w:pStyle w:val="ListBullet"/>
        <w:spacing w:after="60"/>
      </w:pPr>
      <w:r>
        <w:rPr>
          <w:rFonts w:ascii="Calibri" w:hAnsi="Calibri"/>
          <w:b w:val="0"/>
          <w:i w:val="0"/>
          <w:color w:val="222732"/>
          <w:sz w:val="22"/>
        </w:rPr>
        <w:t>The do-operator vs. conditioning distinction — write both expressions on the board and intervene on the same toy graph.</w:t>
      </w:r>
    </w:p>
    <w:p>
      <w:pPr>
        <w:pStyle w:val="ListBullet"/>
        <w:spacing w:after="60"/>
      </w:pPr>
      <w:r>
        <w:rPr>
          <w:rFonts w:ascii="Calibri" w:hAnsi="Calibri"/>
          <w:b w:val="0"/>
          <w:i w:val="0"/>
          <w:color w:val="222732"/>
          <w:sz w:val="22"/>
        </w:rPr>
        <w:t>The collider example: walk the open path that conditioning OPENS, slowly.</w:t>
      </w:r>
    </w:p>
    <w:p>
      <w:pPr>
        <w:spacing w:before="160" w:after="0"/>
        <w:shd w:val="clear" w:color="auto" w:fill="ECEEF2"/>
        <w:pBdr>
          <w:left w:val="single" w:sz="24" w:space="8" w:color="E9A23B"/>
        </w:pBdr>
      </w:pPr>
      <w:r>
        <w:rPr>
          <w:rFonts w:ascii="Calibri" w:hAnsi="Calibri"/>
          <w:b/>
          <w:i w:val="0"/>
          <w:color w:val="E9A23B"/>
          <w:sz w:val="22"/>
        </w:rPr>
        <w:t>Deliverable &amp; grading effort</w:t>
      </w:r>
    </w:p>
    <w:p>
      <w:pPr>
        <w:spacing w:before="0" w:after="40"/>
        <w:shd w:val="clear" w:color="auto" w:fill="ECEEF2"/>
        <w:pBdr>
          <w:left w:val="single" w:sz="24" w:space="8" w:color="E9A23B"/>
        </w:pBdr>
      </w:pPr>
      <w:r>
        <w:rPr>
          <w:rFonts w:ascii="Calibri" w:hAnsi="Calibri"/>
          <w:b w:val="0"/>
          <w:i w:val="0"/>
          <w:color w:val="222732"/>
          <w:sz w:val="21"/>
        </w:rPr>
        <w:t>Deliverable: Problem Set 1; Lab 0: Environment, repository, and your first causal estimate.</w:t>
      </w:r>
    </w:p>
    <w:p>
      <w:pPr>
        <w:spacing w:before="0" w:after="40"/>
        <w:shd w:val="clear" w:color="auto" w:fill="ECEEF2"/>
        <w:pBdr>
          <w:left w:val="single" w:sz="24" w:space="8" w:color="E9A23B"/>
        </w:pBdr>
      </w:pPr>
      <w:r>
        <w:rPr>
          <w:rFonts w:ascii="Calibri" w:hAnsi="Calibri"/>
          <w:b w:val="0"/>
          <w:i w:val="0"/>
          <w:color w:val="222732"/>
          <w:sz w:val="21"/>
        </w:rPr>
        <w:t>Grading: Light. PS1 is conceptual classification (confounder/collider/mediator) — answers are short and largely right/wrong; ~5 min/student. Lab 0 is pass/fail: does the repo exist, is there a first commit, does the confounded-vs-adjusted estimate run? ~3 min/student.</w:t>
      </w:r>
    </w:p>
    <w:p>
      <w:pPr>
        <w:spacing w:before="0" w:after="0"/>
      </w:pPr>
    </w:p>
    <w:p>
      <w:pPr>
        <w:spacing w:after="120"/>
      </w:pPr>
      <w:r>
        <w:rPr>
          <w:rFonts w:ascii="Calibri" w:hAnsi="Calibri"/>
          <w:b/>
          <w:i w:val="0"/>
          <w:color w:val="4E8C57"/>
          <w:sz w:val="22"/>
        </w:rPr>
        <w:t xml:space="preserve">If short on time:  </w:t>
      </w:r>
      <w:r>
        <w:rPr>
          <w:rFonts w:ascii="Calibri" w:hAnsi="Calibri"/>
          <w:b w:val="0"/>
          <w:i w:val="0"/>
          <w:color w:val="222732"/>
          <w:sz w:val="22"/>
        </w:rPr>
        <w:t>KEEP the three-structures taxonomy and the do vs. conditioning split — everything downstream leans on them. CUT the longer history-of-the-field digression if time is tight.</w:t>
      </w:r>
    </w:p>
    <w:p>
      <w:pPr>
        <w:spacing w:before="200" w:after="40"/>
      </w:pPr>
      <w:r>
        <w:rPr>
          <w:rFonts w:ascii="Calibri" w:hAnsi="Calibri"/>
          <w:b/>
          <w:i w:val="0"/>
          <w:color w:val="2F6DB5"/>
          <w:sz w:val="26"/>
        </w:rPr>
        <w:t>Week 2 — Potential Outcomes</w:t>
      </w:r>
    </w:p>
    <w:p>
      <w:pPr>
        <w:spacing w:after="120"/>
      </w:pPr>
      <w:r>
        <w:rPr>
          <w:rFonts w:ascii="Calibri" w:hAnsi="Calibri"/>
          <w:b w:val="0"/>
          <w:i/>
          <w:color w:val="7F8694"/>
          <w:sz w:val="22"/>
        </w:rPr>
        <w:t>Block I — Foundations</w:t>
      </w:r>
    </w:p>
    <w:p>
      <w:pPr>
        <w:spacing w:after="120"/>
      </w:pPr>
      <w:r>
        <w:rPr>
          <w:rFonts w:ascii="Calibri" w:hAnsi="Calibri"/>
          <w:b/>
          <w:i w:val="0"/>
          <w:color w:val="2F6DB5"/>
          <w:sz w:val="22"/>
        </w:rPr>
        <w:t xml:space="preserve">The point.  </w:t>
      </w:r>
      <w:r>
        <w:rPr>
          <w:rFonts w:ascii="Calibri" w:hAnsi="Calibri"/>
          <w:b w:val="0"/>
          <w:i w:val="0"/>
          <w:color w:val="222732"/>
          <w:sz w:val="22"/>
        </w:rPr>
        <w:t>Every causal claim is a statement about the unobservable pair Y(1), Y(0); an effect is identified only when stated assumptions let an observed comparison stand in for the missing counterfactual.</w:t>
      </w:r>
    </w:p>
    <w:p>
      <w:pPr>
        <w:spacing w:after="120"/>
      </w:pPr>
      <w:r>
        <w:rPr>
          <w:rFonts w:ascii="Calibri" w:hAnsi="Calibri"/>
          <w:b/>
          <w:i w:val="0"/>
          <w:color w:val="222732"/>
          <w:sz w:val="22"/>
        </w:rPr>
        <w:t>Students must leave with:</w:t>
      </w:r>
    </w:p>
    <w:p>
      <w:pPr>
        <w:pStyle w:val="ListBullet"/>
        <w:spacing w:after="60"/>
      </w:pPr>
      <w:r>
        <w:rPr>
          <w:rFonts w:ascii="Calibri" w:hAnsi="Calibri"/>
          <w:b w:val="0"/>
          <w:i w:val="0"/>
          <w:color w:val="222732"/>
          <w:sz w:val="22"/>
        </w:rPr>
        <w:t>The fundamental problem of causal inference: you never see both potential outcomes for the same unit.</w:t>
      </w:r>
    </w:p>
    <w:p>
      <w:pPr>
        <w:pStyle w:val="ListBullet"/>
        <w:spacing w:after="60"/>
      </w:pPr>
      <w:r>
        <w:rPr>
          <w:rFonts w:ascii="Calibri" w:hAnsi="Calibri"/>
          <w:b w:val="0"/>
          <w:i w:val="0"/>
          <w:color w:val="222732"/>
          <w:sz w:val="22"/>
        </w:rPr>
        <w:t>State the estimand FIRST (ATE / ATT / CATE) — it fixes 'for whom' before any estimation begins.</w:t>
      </w:r>
    </w:p>
    <w:p>
      <w:pPr>
        <w:pStyle w:val="ListBullet"/>
        <w:spacing w:after="60"/>
      </w:pPr>
      <w:r>
        <w:rPr>
          <w:rFonts w:ascii="Calibri" w:hAnsi="Calibri"/>
          <w:b w:val="0"/>
          <w:i w:val="0"/>
          <w:color w:val="222732"/>
          <w:sz w:val="22"/>
        </w:rPr>
        <w:t>SUTVA, consistency, conditional exchangeability, and positivity are the four assumptions, and each one is used at a specific step.</w:t>
      </w:r>
    </w:p>
    <w:p>
      <w:pPr>
        <w:spacing w:after="120"/>
      </w:pPr>
      <w:r>
        <w:rPr>
          <w:rFonts w:ascii="Calibri" w:hAnsi="Calibri"/>
          <w:b/>
          <w:i w:val="0"/>
          <w:color w:val="C0504D"/>
          <w:sz w:val="22"/>
        </w:rPr>
        <w:t>Where they stumble:</w:t>
      </w:r>
    </w:p>
    <w:p>
      <w:pPr>
        <w:pStyle w:val="ListBullet"/>
        <w:spacing w:after="60"/>
      </w:pPr>
      <w:r>
        <w:rPr>
          <w:rFonts w:ascii="Calibri" w:hAnsi="Calibri"/>
          <w:b w:val="0"/>
          <w:i w:val="0"/>
          <w:color w:val="222732"/>
          <w:sz w:val="22"/>
        </w:rPr>
        <w:t>Students conflate identification (an assumptions problem) with estimation (a data/variance problem) — separate them explicitly and keep them separate all term.</w:t>
      </w:r>
    </w:p>
    <w:p>
      <w:pPr>
        <w:pStyle w:val="ListBullet"/>
        <w:spacing w:after="60"/>
      </w:pPr>
      <w:r>
        <w:rPr>
          <w:rFonts w:ascii="Calibri" w:hAnsi="Calibri"/>
          <w:b w:val="0"/>
          <w:i w:val="0"/>
          <w:color w:val="222732"/>
          <w:sz w:val="22"/>
        </w:rPr>
        <w:t>Positivity feels like a technicality until they see a subgroup with zero treated units; use that picture.</w:t>
      </w:r>
    </w:p>
    <w:p>
      <w:pPr>
        <w:pStyle w:val="ListBullet"/>
        <w:spacing w:after="60"/>
      </w:pPr>
      <w:r>
        <w:rPr>
          <w:rFonts w:ascii="Calibri" w:hAnsi="Calibri"/>
          <w:b w:val="0"/>
          <w:i w:val="0"/>
          <w:color w:val="222732"/>
          <w:sz w:val="22"/>
        </w:rPr>
        <w:t>ATT vs. ATE is treated as interchangeable; force them to say which one a given question actually asks.</w:t>
      </w:r>
    </w:p>
    <w:p>
      <w:pPr>
        <w:spacing w:after="120"/>
      </w:pPr>
      <w:r>
        <w:rPr>
          <w:rFonts w:ascii="Calibri" w:hAnsi="Calibri"/>
          <w:b/>
          <w:i w:val="0"/>
          <w:color w:val="222732"/>
          <w:sz w:val="22"/>
        </w:rPr>
        <w:t>Discussion prompts:</w:t>
      </w:r>
    </w:p>
    <w:p>
      <w:pPr>
        <w:pStyle w:val="ListBullet"/>
        <w:spacing w:after="60"/>
      </w:pPr>
      <w:r>
        <w:rPr>
          <w:rFonts w:ascii="Calibri" w:hAnsi="Calibri"/>
          <w:b/>
          <w:i w:val="0"/>
          <w:color w:val="222732"/>
          <w:sz w:val="22"/>
        </w:rPr>
        <w:t xml:space="preserve">1. </w:t>
      </w:r>
      <w:r>
        <w:rPr>
          <w:rFonts w:ascii="Calibri" w:hAnsi="Calibri"/>
          <w:b w:val="0"/>
          <w:i w:val="0"/>
          <w:color w:val="222732"/>
          <w:sz w:val="22"/>
        </w:rPr>
        <w:t>Pick a policy you care about and write its effect in Y(1)/Y(0) notation. Which estimand does the decision-maker actually need?</w:t>
      </w:r>
    </w:p>
    <w:p>
      <w:pPr>
        <w:pStyle w:val="ListBullet"/>
        <w:spacing w:after="60"/>
      </w:pPr>
      <w:r>
        <w:rPr>
          <w:rFonts w:ascii="Calibri" w:hAnsi="Calibri"/>
          <w:b/>
          <w:i w:val="0"/>
          <w:color w:val="222732"/>
          <w:sz w:val="22"/>
        </w:rPr>
        <w:t xml:space="preserve">2. </w:t>
      </w:r>
      <w:r>
        <w:rPr>
          <w:rFonts w:ascii="Calibri" w:hAnsi="Calibri"/>
          <w:b w:val="0"/>
          <w:i w:val="0"/>
          <w:color w:val="222732"/>
          <w:sz w:val="22"/>
        </w:rPr>
        <w:t>Which of the four assumptions is hardest to defend for an observational study you have read?</w:t>
      </w:r>
    </w:p>
    <w:p>
      <w:pPr>
        <w:pStyle w:val="ListBullet"/>
        <w:spacing w:after="60"/>
      </w:pPr>
      <w:r>
        <w:rPr>
          <w:rFonts w:ascii="Calibri" w:hAnsi="Calibri"/>
          <w:b/>
          <w:i w:val="0"/>
          <w:color w:val="222732"/>
          <w:sz w:val="22"/>
        </w:rPr>
        <w:t xml:space="preserve">3. </w:t>
      </w:r>
      <w:r>
        <w:rPr>
          <w:rFonts w:ascii="Calibri" w:hAnsi="Calibri"/>
          <w:b w:val="0"/>
          <w:i w:val="0"/>
          <w:color w:val="222732"/>
          <w:sz w:val="22"/>
        </w:rPr>
        <w:t>Why does randomization buy exchangeability 'for free'?</w:t>
      </w:r>
    </w:p>
    <w:p>
      <w:pPr>
        <w:spacing w:after="120"/>
      </w:pPr>
      <w:r>
        <w:rPr>
          <w:rFonts w:ascii="Calibri" w:hAnsi="Calibri"/>
          <w:b/>
          <w:i w:val="0"/>
          <w:color w:val="222732"/>
          <w:sz w:val="22"/>
        </w:rPr>
        <w:t>Slow down on:</w:t>
      </w:r>
    </w:p>
    <w:p>
      <w:pPr>
        <w:pStyle w:val="ListBullet"/>
        <w:spacing w:after="60"/>
      </w:pPr>
      <w:r>
        <w:rPr>
          <w:rFonts w:ascii="Calibri" w:hAnsi="Calibri"/>
          <w:b w:val="0"/>
          <w:i w:val="0"/>
          <w:color w:val="222732"/>
          <w:sz w:val="22"/>
        </w:rPr>
        <w:t>The science-table picture (rows = units, two potential-outcome columns, one always missing) — this single image anchors the whole course.</w:t>
      </w:r>
    </w:p>
    <w:p>
      <w:pPr>
        <w:pStyle w:val="ListBullet"/>
        <w:spacing w:after="60"/>
      </w:pPr>
      <w:r>
        <w:rPr>
          <w:rFonts w:ascii="Calibri" w:hAnsi="Calibri"/>
          <w:b w:val="0"/>
          <w:i w:val="0"/>
          <w:color w:val="222732"/>
          <w:sz w:val="22"/>
        </w:rPr>
        <w:t>Walking each assumption to the exact line of an estimator where it is invoked.</w:t>
      </w:r>
    </w:p>
    <w:p>
      <w:pPr>
        <w:spacing w:before="160" w:after="0"/>
        <w:shd w:val="clear" w:color="auto" w:fill="ECEEF2"/>
        <w:pBdr>
          <w:left w:val="single" w:sz="24" w:space="8" w:color="E9A23B"/>
        </w:pBdr>
      </w:pPr>
      <w:r>
        <w:rPr>
          <w:rFonts w:ascii="Calibri" w:hAnsi="Calibri"/>
          <w:b/>
          <w:i w:val="0"/>
          <w:color w:val="E9A23B"/>
          <w:sz w:val="22"/>
        </w:rPr>
        <w:t>Deliverable &amp; grading effort</w:t>
      </w:r>
    </w:p>
    <w:p>
      <w:pPr>
        <w:spacing w:before="0" w:after="40"/>
        <w:shd w:val="clear" w:color="auto" w:fill="ECEEF2"/>
        <w:pBdr>
          <w:left w:val="single" w:sz="24" w:space="8" w:color="E9A23B"/>
        </w:pBdr>
      </w:pPr>
      <w:r>
        <w:rPr>
          <w:rFonts w:ascii="Calibri" w:hAnsi="Calibri"/>
          <w:b w:val="0"/>
          <w:i w:val="0"/>
          <w:color w:val="222732"/>
          <w:sz w:val="21"/>
        </w:rPr>
        <w:t>Deliverable: Problem Set 2; Workshop 2: Potential outcomes in code.</w:t>
      </w:r>
    </w:p>
    <w:p>
      <w:pPr>
        <w:spacing w:before="0" w:after="40"/>
        <w:shd w:val="clear" w:color="auto" w:fill="ECEEF2"/>
        <w:pBdr>
          <w:left w:val="single" w:sz="24" w:space="8" w:color="E9A23B"/>
        </w:pBdr>
      </w:pPr>
      <w:r>
        <w:rPr>
          <w:rFonts w:ascii="Calibri" w:hAnsi="Calibri"/>
          <w:b w:val="0"/>
          <w:i w:val="0"/>
          <w:color w:val="222732"/>
          <w:sz w:val="21"/>
        </w:rPr>
        <w:t>Grading: Moderate. PS2 asks students to name specific violations, not just label them — partial credit means reading reasoning, ~8 min/student. Workshop 2 is checkable against a known true ATE, so grading is fast if you spot-check the recovered number.</w:t>
      </w:r>
    </w:p>
    <w:p>
      <w:pPr>
        <w:spacing w:before="0" w:after="0"/>
      </w:pPr>
    </w:p>
    <w:p>
      <w:pPr>
        <w:spacing w:after="120"/>
      </w:pPr>
      <w:r>
        <w:rPr>
          <w:rFonts w:ascii="Calibri" w:hAnsi="Calibri"/>
          <w:b/>
          <w:i w:val="0"/>
          <w:color w:val="4E8C57"/>
          <w:sz w:val="22"/>
        </w:rPr>
        <w:t xml:space="preserve">If short on time:  </w:t>
      </w:r>
      <w:r>
        <w:rPr>
          <w:rFonts w:ascii="Calibri" w:hAnsi="Calibri"/>
          <w:b w:val="0"/>
          <w:i w:val="0"/>
          <w:color w:val="222732"/>
          <w:sz w:val="22"/>
        </w:rPr>
        <w:t>KEEP 'state the estimand first' and the four assumptions — they are the backbone of Weeks 5-8. CUT the finite- vs. super-population variance aside unless your cohort is theory-strong.</w:t>
      </w:r>
    </w:p>
    <w:p>
      <w:pPr>
        <w:spacing w:before="200" w:after="40"/>
      </w:pPr>
      <w:r>
        <w:rPr>
          <w:rFonts w:ascii="Calibri" w:hAnsi="Calibri"/>
          <w:b/>
          <w:i w:val="0"/>
          <w:color w:val="2F6DB5"/>
          <w:sz w:val="26"/>
        </w:rPr>
        <w:t>Week 3 — Randomized Experiments &amp; A/B Testing</w:t>
      </w:r>
    </w:p>
    <w:p>
      <w:pPr>
        <w:spacing w:after="120"/>
      </w:pPr>
      <w:r>
        <w:rPr>
          <w:rFonts w:ascii="Calibri" w:hAnsi="Calibri"/>
          <w:b w:val="0"/>
          <w:i/>
          <w:color w:val="7F8694"/>
          <w:sz w:val="22"/>
        </w:rPr>
        <w:t>Block I — Foundations</w:t>
      </w:r>
    </w:p>
    <w:p>
      <w:pPr>
        <w:spacing w:after="120"/>
      </w:pPr>
      <w:r>
        <w:rPr>
          <w:rFonts w:ascii="Calibri" w:hAnsi="Calibri"/>
          <w:b/>
          <w:i w:val="0"/>
          <w:color w:val="2F6DB5"/>
          <w:sz w:val="22"/>
        </w:rPr>
        <w:t xml:space="preserve">The point.  </w:t>
      </w:r>
      <w:r>
        <w:rPr>
          <w:rFonts w:ascii="Calibri" w:hAnsi="Calibri"/>
          <w:b w:val="0"/>
          <w:i w:val="0"/>
          <w:color w:val="222732"/>
          <w:sz w:val="22"/>
        </w:rPr>
        <w:t>Random assignment turns a difference in means into a causal effect; at scale, power, variance, compliance, interference, and peeking decide whether you can actually trust the number.</w:t>
      </w:r>
    </w:p>
    <w:p>
      <w:pPr>
        <w:spacing w:after="120"/>
      </w:pPr>
      <w:r>
        <w:rPr>
          <w:rFonts w:ascii="Calibri" w:hAnsi="Calibri"/>
          <w:b/>
          <w:i w:val="0"/>
          <w:color w:val="222732"/>
          <w:sz w:val="22"/>
        </w:rPr>
        <w:t>Students must leave with:</w:t>
      </w:r>
    </w:p>
    <w:p>
      <w:pPr>
        <w:pStyle w:val="ListBullet"/>
        <w:spacing w:after="60"/>
      </w:pPr>
      <w:r>
        <w:rPr>
          <w:rFonts w:ascii="Calibri" w:hAnsi="Calibri"/>
          <w:b w:val="0"/>
          <w:i w:val="0"/>
          <w:color w:val="222732"/>
          <w:sz w:val="22"/>
        </w:rPr>
        <w:t>Randomization makes treatment independent of the potential outcomes — that independence, not the sample size, is what licenses causality.</w:t>
      </w:r>
    </w:p>
    <w:p>
      <w:pPr>
        <w:pStyle w:val="ListBullet"/>
        <w:spacing w:after="60"/>
      </w:pPr>
      <w:r>
        <w:rPr>
          <w:rFonts w:ascii="Calibri" w:hAnsi="Calibri"/>
          <w:b w:val="0"/>
          <w:i w:val="0"/>
          <w:color w:val="222732"/>
          <w:sz w:val="22"/>
        </w:rPr>
        <w:t>Sample size follows from baseline rate, minimum detectable effect, and target power; variance reduction (CUPED) buys precision for free.</w:t>
      </w:r>
    </w:p>
    <w:p>
      <w:pPr>
        <w:pStyle w:val="ListBullet"/>
        <w:spacing w:after="60"/>
      </w:pPr>
      <w:r>
        <w:rPr>
          <w:rFonts w:ascii="Calibri" w:hAnsi="Calibri"/>
          <w:b w:val="0"/>
          <w:i w:val="0"/>
          <w:color w:val="222732"/>
          <w:sz w:val="22"/>
        </w:rPr>
        <w:t>ITT and per-protocol answer different questions under noncompliance; peeking, SRM, and interference are the real-world failure modes.</w:t>
      </w:r>
    </w:p>
    <w:p>
      <w:pPr>
        <w:spacing w:after="120"/>
      </w:pPr>
      <w:r>
        <w:rPr>
          <w:rFonts w:ascii="Calibri" w:hAnsi="Calibri"/>
          <w:b/>
          <w:i w:val="0"/>
          <w:color w:val="C0504D"/>
          <w:sz w:val="22"/>
        </w:rPr>
        <w:t>Where they stumble:</w:t>
      </w:r>
    </w:p>
    <w:p>
      <w:pPr>
        <w:pStyle w:val="ListBullet"/>
        <w:spacing w:after="60"/>
      </w:pPr>
      <w:r>
        <w:rPr>
          <w:rFonts w:ascii="Calibri" w:hAnsi="Calibri"/>
          <w:b w:val="0"/>
          <w:i w:val="0"/>
          <w:color w:val="222732"/>
          <w:sz w:val="22"/>
        </w:rPr>
        <w:t>Students treat a non-significant test as 'no effect' rather than 'under-powered' — tie this back to MDE.</w:t>
      </w:r>
    </w:p>
    <w:p>
      <w:pPr>
        <w:pStyle w:val="ListBullet"/>
        <w:spacing w:after="60"/>
      </w:pPr>
      <w:r>
        <w:rPr>
          <w:rFonts w:ascii="Calibri" w:hAnsi="Calibri"/>
          <w:b w:val="0"/>
          <w:i w:val="0"/>
          <w:color w:val="222732"/>
          <w:sz w:val="22"/>
        </w:rPr>
        <w:t>Peeking feels harmless ('I just looked early'); the simulated false-positive inflation is the moment that convinces them.</w:t>
      </w:r>
    </w:p>
    <w:p>
      <w:pPr>
        <w:pStyle w:val="ListBullet"/>
        <w:spacing w:after="60"/>
      </w:pPr>
      <w:r>
        <w:rPr>
          <w:rFonts w:ascii="Calibri" w:hAnsi="Calibri"/>
          <w:b w:val="0"/>
          <w:i w:val="0"/>
          <w:color w:val="222732"/>
          <w:sz w:val="22"/>
        </w:rPr>
        <w:t>ITT vs. per-protocol confusion: per-protocol feels 'more honest' but reintroduces confounding. Make that explicit.</w:t>
      </w:r>
    </w:p>
    <w:p>
      <w:pPr>
        <w:spacing w:after="120"/>
      </w:pPr>
      <w:r>
        <w:rPr>
          <w:rFonts w:ascii="Calibri" w:hAnsi="Calibri"/>
          <w:b/>
          <w:i w:val="0"/>
          <w:color w:val="222732"/>
          <w:sz w:val="22"/>
        </w:rPr>
        <w:t>Discussion prompts:</w:t>
      </w:r>
    </w:p>
    <w:p>
      <w:pPr>
        <w:pStyle w:val="ListBullet"/>
        <w:spacing w:after="60"/>
      </w:pPr>
      <w:r>
        <w:rPr>
          <w:rFonts w:ascii="Calibri" w:hAnsi="Calibri"/>
          <w:b/>
          <w:i w:val="0"/>
          <w:color w:val="222732"/>
          <w:sz w:val="22"/>
        </w:rPr>
        <w:t xml:space="preserve">1. </w:t>
      </w:r>
      <w:r>
        <w:rPr>
          <w:rFonts w:ascii="Calibri" w:hAnsi="Calibri"/>
          <w:b w:val="0"/>
          <w:i w:val="0"/>
          <w:color w:val="222732"/>
          <w:sz w:val="22"/>
        </w:rPr>
        <w:t>Your test is flat after a week. List three reasons before concluding 'no effect'.</w:t>
      </w:r>
    </w:p>
    <w:p>
      <w:pPr>
        <w:pStyle w:val="ListBullet"/>
        <w:spacing w:after="60"/>
      </w:pPr>
      <w:r>
        <w:rPr>
          <w:rFonts w:ascii="Calibri" w:hAnsi="Calibri"/>
          <w:b/>
          <w:i w:val="0"/>
          <w:color w:val="222732"/>
          <w:sz w:val="22"/>
        </w:rPr>
        <w:t xml:space="preserve">2. </w:t>
      </w:r>
      <w:r>
        <w:rPr>
          <w:rFonts w:ascii="Calibri" w:hAnsi="Calibri"/>
          <w:b w:val="0"/>
          <w:i w:val="0"/>
          <w:color w:val="222732"/>
          <w:sz w:val="22"/>
        </w:rPr>
        <w:t>When is per-protocol the WRONG analysis even though everyone in it actually took the treatment?</w:t>
      </w:r>
    </w:p>
    <w:p>
      <w:pPr>
        <w:pStyle w:val="ListBullet"/>
        <w:spacing w:after="60"/>
      </w:pPr>
      <w:r>
        <w:rPr>
          <w:rFonts w:ascii="Calibri" w:hAnsi="Calibri"/>
          <w:b/>
          <w:i w:val="0"/>
          <w:color w:val="222732"/>
          <w:sz w:val="22"/>
        </w:rPr>
        <w:t xml:space="preserve">3. </w:t>
      </w:r>
      <w:r>
        <w:rPr>
          <w:rFonts w:ascii="Calibri" w:hAnsi="Calibri"/>
          <w:b w:val="0"/>
          <w:i w:val="0"/>
          <w:color w:val="222732"/>
          <w:sz w:val="22"/>
        </w:rPr>
        <w:t>Give a product feature whose A/B test would violate SUTVA through interference.</w:t>
      </w:r>
    </w:p>
    <w:p>
      <w:pPr>
        <w:spacing w:after="120"/>
      </w:pPr>
      <w:r>
        <w:rPr>
          <w:rFonts w:ascii="Calibri" w:hAnsi="Calibri"/>
          <w:b/>
          <w:i w:val="0"/>
          <w:color w:val="222732"/>
          <w:sz w:val="22"/>
        </w:rPr>
        <w:t>Slow down on:</w:t>
      </w:r>
    </w:p>
    <w:p>
      <w:pPr>
        <w:pStyle w:val="ListBullet"/>
        <w:spacing w:after="60"/>
      </w:pPr>
      <w:r>
        <w:rPr>
          <w:rFonts w:ascii="Calibri" w:hAnsi="Calibri"/>
          <w:b w:val="0"/>
          <w:i w:val="0"/>
          <w:color w:val="222732"/>
          <w:sz w:val="22"/>
        </w:rPr>
        <w:t>The power / MDE / sample-size triangle — derive one, then verify by simulation so they see the formula and the experiment agree.</w:t>
      </w:r>
    </w:p>
    <w:p>
      <w:pPr>
        <w:pStyle w:val="ListBullet"/>
        <w:spacing w:after="60"/>
      </w:pPr>
      <w:r>
        <w:rPr>
          <w:rFonts w:ascii="Calibri" w:hAnsi="Calibri"/>
          <w:b w:val="0"/>
          <w:i w:val="0"/>
          <w:color w:val="222732"/>
          <w:sz w:val="22"/>
        </w:rPr>
        <w:t>The peeking simulation: run it live if you can; the inflated false-positive rate is the lesson.</w:t>
      </w:r>
    </w:p>
    <w:p>
      <w:pPr>
        <w:spacing w:before="160" w:after="0"/>
        <w:shd w:val="clear" w:color="auto" w:fill="ECEEF2"/>
        <w:pBdr>
          <w:left w:val="single" w:sz="24" w:space="8" w:color="E9A23B"/>
        </w:pBdr>
      </w:pPr>
      <w:r>
        <w:rPr>
          <w:rFonts w:ascii="Calibri" w:hAnsi="Calibri"/>
          <w:b/>
          <w:i w:val="0"/>
          <w:color w:val="E9A23B"/>
          <w:sz w:val="22"/>
        </w:rPr>
        <w:t>Deliverable &amp; grading effort</w:t>
      </w:r>
    </w:p>
    <w:p>
      <w:pPr>
        <w:spacing w:before="0" w:after="40"/>
        <w:shd w:val="clear" w:color="auto" w:fill="ECEEF2"/>
        <w:pBdr>
          <w:left w:val="single" w:sz="24" w:space="8" w:color="E9A23B"/>
        </w:pBdr>
      </w:pPr>
      <w:r>
        <w:rPr>
          <w:rFonts w:ascii="Calibri" w:hAnsi="Calibri"/>
          <w:b w:val="0"/>
          <w:i w:val="0"/>
          <w:color w:val="222732"/>
          <w:sz w:val="21"/>
        </w:rPr>
        <w:t>Deliverable: Concept Set 3; Lab 1: Design and analyze an A/B test.</w:t>
      </w:r>
    </w:p>
    <w:p>
      <w:pPr>
        <w:spacing w:before="0" w:after="40"/>
        <w:shd w:val="clear" w:color="auto" w:fill="ECEEF2"/>
        <w:pBdr>
          <w:left w:val="single" w:sz="24" w:space="8" w:color="E9A23B"/>
        </w:pBdr>
      </w:pPr>
      <w:r>
        <w:rPr>
          <w:rFonts w:ascii="Calibri" w:hAnsi="Calibri"/>
          <w:b w:val="0"/>
          <w:i w:val="0"/>
          <w:color w:val="222732"/>
          <w:sz w:val="21"/>
        </w:rPr>
        <w:t>Grading: Moderate-to-heavy. Lab 1 is the first full end-to-end build (size, simulate, estimate, CUPED, ITT vs PP). Budget ~12-15 min/student; a rubric over the five stages keeps it tractable.</w:t>
      </w:r>
    </w:p>
    <w:p>
      <w:pPr>
        <w:spacing w:before="0" w:after="0"/>
      </w:pPr>
    </w:p>
    <w:p>
      <w:pPr>
        <w:spacing w:after="120"/>
      </w:pPr>
      <w:r>
        <w:rPr>
          <w:rFonts w:ascii="Calibri" w:hAnsi="Calibri"/>
          <w:b/>
          <w:i w:val="0"/>
          <w:color w:val="4E8C57"/>
          <w:sz w:val="22"/>
        </w:rPr>
        <w:t xml:space="preserve">If short on time:  </w:t>
      </w:r>
      <w:r>
        <w:rPr>
          <w:rFonts w:ascii="Calibri" w:hAnsi="Calibri"/>
          <w:b w:val="0"/>
          <w:i w:val="0"/>
          <w:color w:val="222732"/>
          <w:sz w:val="22"/>
        </w:rPr>
        <w:t>KEEP power/MDE and the peeking demo. CUT the deeper sequential-testing / always-valid-inference material to a pointer for the capstone if pressed for time.</w:t>
      </w:r>
    </w:p>
    <w:p>
      <w:pPr>
        <w:spacing w:before="200" w:after="40"/>
      </w:pPr>
      <w:r>
        <w:rPr>
          <w:rFonts w:ascii="Calibri" w:hAnsi="Calibri"/>
          <w:b/>
          <w:i w:val="0"/>
          <w:color w:val="2F6DB5"/>
          <w:sz w:val="26"/>
        </w:rPr>
        <w:t>Week 4 — Causal Graphs (DAGs)</w:t>
      </w:r>
    </w:p>
    <w:p>
      <w:pPr>
        <w:spacing w:after="120"/>
      </w:pPr>
      <w:r>
        <w:rPr>
          <w:rFonts w:ascii="Calibri" w:hAnsi="Calibri"/>
          <w:b w:val="0"/>
          <w:i/>
          <w:color w:val="7F8694"/>
          <w:sz w:val="22"/>
        </w:rPr>
        <w:t>Block I — Foundations</w:t>
      </w:r>
    </w:p>
    <w:p>
      <w:pPr>
        <w:spacing w:after="120"/>
      </w:pPr>
      <w:r>
        <w:rPr>
          <w:rFonts w:ascii="Calibri" w:hAnsi="Calibri"/>
          <w:b/>
          <w:i w:val="0"/>
          <w:color w:val="2F6DB5"/>
          <w:sz w:val="22"/>
        </w:rPr>
        <w:t xml:space="preserve">The point.  </w:t>
      </w:r>
      <w:r>
        <w:rPr>
          <w:rFonts w:ascii="Calibri" w:hAnsi="Calibri"/>
          <w:b w:val="0"/>
          <w:i w:val="0"/>
          <w:color w:val="222732"/>
          <w:sz w:val="22"/>
        </w:rPr>
        <w:t>A DAG turns assumptions into a picture you can read: three local shapes (chain, fork, collider) decide whether a path carries association, and d-separation tells you mechanically what to adjust for.</w:t>
      </w:r>
    </w:p>
    <w:p>
      <w:pPr>
        <w:spacing w:after="120"/>
      </w:pPr>
      <w:r>
        <w:rPr>
          <w:rFonts w:ascii="Calibri" w:hAnsi="Calibri"/>
          <w:b/>
          <w:i w:val="0"/>
          <w:color w:val="222732"/>
          <w:sz w:val="22"/>
        </w:rPr>
        <w:t>Students must leave with:</w:t>
      </w:r>
    </w:p>
    <w:p>
      <w:pPr>
        <w:pStyle w:val="ListBullet"/>
        <w:spacing w:after="60"/>
      </w:pPr>
      <w:r>
        <w:rPr>
          <w:rFonts w:ascii="Calibri" w:hAnsi="Calibri"/>
          <w:b w:val="0"/>
          <w:i w:val="0"/>
          <w:color w:val="222732"/>
          <w:sz w:val="22"/>
        </w:rPr>
        <w:t>The graph IS the assumption set — drawing it commits you to a testable story.</w:t>
      </w:r>
    </w:p>
    <w:p>
      <w:pPr>
        <w:pStyle w:val="ListBullet"/>
        <w:spacing w:after="60"/>
      </w:pPr>
      <w:r>
        <w:rPr>
          <w:rFonts w:ascii="Calibri" w:hAnsi="Calibri"/>
          <w:b w:val="0"/>
          <w:i w:val="0"/>
          <w:color w:val="222732"/>
          <w:sz w:val="22"/>
        </w:rPr>
        <w:t>Chain / fork / collider behave oppositely under conditioning; the collider is the one that OPENS when you condition.</w:t>
      </w:r>
    </w:p>
    <w:p>
      <w:pPr>
        <w:pStyle w:val="ListBullet"/>
        <w:spacing w:after="60"/>
      </w:pPr>
      <w:r>
        <w:rPr>
          <w:rFonts w:ascii="Calibri" w:hAnsi="Calibri"/>
          <w:b w:val="0"/>
          <w:i w:val="0"/>
          <w:color w:val="222732"/>
          <w:sz w:val="22"/>
        </w:rPr>
        <w:t>The back-door criterion finds a valid (and minimal) adjustment set; the front-door identifies through a mediator when back doors are all blocked.</w:t>
      </w:r>
    </w:p>
    <w:p>
      <w:pPr>
        <w:spacing w:after="120"/>
      </w:pPr>
      <w:r>
        <w:rPr>
          <w:rFonts w:ascii="Calibri" w:hAnsi="Calibri"/>
          <w:b/>
          <w:i w:val="0"/>
          <w:color w:val="C0504D"/>
          <w:sz w:val="22"/>
        </w:rPr>
        <w:t>Where they stumble:</w:t>
      </w:r>
    </w:p>
    <w:p>
      <w:pPr>
        <w:pStyle w:val="ListBullet"/>
        <w:spacing w:after="60"/>
      </w:pPr>
      <w:r>
        <w:rPr>
          <w:rFonts w:ascii="Calibri" w:hAnsi="Calibri"/>
          <w:b w:val="0"/>
          <w:i w:val="0"/>
          <w:color w:val="222732"/>
          <w:sz w:val="22"/>
        </w:rPr>
        <w:t>The collider rule reversal is THE sticking point of the week — that conditioning on a collider opens rather than closes a path.</w:t>
      </w:r>
    </w:p>
    <w:p>
      <w:pPr>
        <w:pStyle w:val="ListBullet"/>
        <w:spacing w:after="60"/>
      </w:pPr>
      <w:r>
        <w:rPr>
          <w:rFonts w:ascii="Calibri" w:hAnsi="Calibri"/>
          <w:b w:val="0"/>
          <w:i w:val="0"/>
          <w:color w:val="222732"/>
          <w:sz w:val="22"/>
        </w:rPr>
        <w:t>Students hunt for the 'biggest' adjustment set; push them toward minimal, sufficient sets.</w:t>
      </w:r>
    </w:p>
    <w:p>
      <w:pPr>
        <w:pStyle w:val="ListBullet"/>
        <w:spacing w:after="60"/>
      </w:pPr>
      <w:r>
        <w:rPr>
          <w:rFonts w:ascii="Calibri" w:hAnsi="Calibri"/>
          <w:b w:val="0"/>
          <w:i w:val="0"/>
          <w:color w:val="222732"/>
          <w:sz w:val="22"/>
        </w:rPr>
        <w:t>The front-door criterion feels like magic; ground it in the explicit mediator example before the algebra.</w:t>
      </w:r>
    </w:p>
    <w:p>
      <w:pPr>
        <w:spacing w:after="120"/>
      </w:pPr>
      <w:r>
        <w:rPr>
          <w:rFonts w:ascii="Calibri" w:hAnsi="Calibri"/>
          <w:b/>
          <w:i w:val="0"/>
          <w:color w:val="222732"/>
          <w:sz w:val="22"/>
        </w:rPr>
        <w:t>Discussion prompts:</w:t>
      </w:r>
    </w:p>
    <w:p>
      <w:pPr>
        <w:pStyle w:val="ListBullet"/>
        <w:spacing w:after="60"/>
      </w:pPr>
      <w:r>
        <w:rPr>
          <w:rFonts w:ascii="Calibri" w:hAnsi="Calibri"/>
          <w:b/>
          <w:i w:val="0"/>
          <w:color w:val="222732"/>
          <w:sz w:val="22"/>
        </w:rPr>
        <w:t xml:space="preserve">1. </w:t>
      </w:r>
      <w:r>
        <w:rPr>
          <w:rFonts w:ascii="Calibri" w:hAnsi="Calibri"/>
          <w:b w:val="0"/>
          <w:i w:val="0"/>
          <w:color w:val="222732"/>
          <w:sz w:val="22"/>
        </w:rPr>
        <w:t>Draw the DAG for a claim in your own field. Which edge are you least sure about, and what would it take to test it?</w:t>
      </w:r>
    </w:p>
    <w:p>
      <w:pPr>
        <w:pStyle w:val="ListBullet"/>
        <w:spacing w:after="60"/>
      </w:pPr>
      <w:r>
        <w:rPr>
          <w:rFonts w:ascii="Calibri" w:hAnsi="Calibri"/>
          <w:b/>
          <w:i w:val="0"/>
          <w:color w:val="222732"/>
          <w:sz w:val="22"/>
        </w:rPr>
        <w:t xml:space="preserve">2. </w:t>
      </w:r>
      <w:r>
        <w:rPr>
          <w:rFonts w:ascii="Calibri" w:hAnsi="Calibri"/>
          <w:b w:val="0"/>
          <w:i w:val="0"/>
          <w:color w:val="222732"/>
          <w:sz w:val="22"/>
        </w:rPr>
        <w:t>Construct a graph where adjusting for a variable HELPS on one path and HURTS on another.</w:t>
      </w:r>
    </w:p>
    <w:p>
      <w:pPr>
        <w:pStyle w:val="ListBullet"/>
        <w:spacing w:after="60"/>
      </w:pPr>
      <w:r>
        <w:rPr>
          <w:rFonts w:ascii="Calibri" w:hAnsi="Calibri"/>
          <w:b/>
          <w:i w:val="0"/>
          <w:color w:val="222732"/>
          <w:sz w:val="22"/>
        </w:rPr>
        <w:t xml:space="preserve">3. </w:t>
      </w:r>
      <w:r>
        <w:rPr>
          <w:rFonts w:ascii="Calibri" w:hAnsi="Calibri"/>
          <w:b w:val="0"/>
          <w:i w:val="0"/>
          <w:color w:val="222732"/>
          <w:sz w:val="22"/>
        </w:rPr>
        <w:t>What conditional independence would falsify your DAG, and do you have the data to check it?</w:t>
      </w:r>
    </w:p>
    <w:p>
      <w:pPr>
        <w:spacing w:after="120"/>
      </w:pPr>
      <w:r>
        <w:rPr>
          <w:rFonts w:ascii="Calibri" w:hAnsi="Calibri"/>
          <w:b/>
          <w:i w:val="0"/>
          <w:color w:val="222732"/>
          <w:sz w:val="22"/>
        </w:rPr>
        <w:t>Slow down on:</w:t>
      </w:r>
    </w:p>
    <w:p>
      <w:pPr>
        <w:pStyle w:val="ListBullet"/>
        <w:spacing w:after="60"/>
      </w:pPr>
      <w:r>
        <w:rPr>
          <w:rFonts w:ascii="Calibri" w:hAnsi="Calibri"/>
          <w:b w:val="0"/>
          <w:i w:val="0"/>
          <w:color w:val="222732"/>
          <w:sz w:val="22"/>
        </w:rPr>
        <w:t>d-separation worked on one path at a time — narrate 'open' / 'blocked' for each segment out loud.</w:t>
      </w:r>
    </w:p>
    <w:p>
      <w:pPr>
        <w:pStyle w:val="ListBullet"/>
        <w:spacing w:after="60"/>
      </w:pPr>
      <w:r>
        <w:rPr>
          <w:rFonts w:ascii="Calibri" w:hAnsi="Calibri"/>
          <w:b w:val="0"/>
          <w:i w:val="0"/>
          <w:color w:val="222732"/>
          <w:sz w:val="22"/>
        </w:rPr>
        <w:t>Conditioning on a collider: animate the path opening; this is the moment that pays off all term.</w:t>
      </w:r>
    </w:p>
    <w:p>
      <w:pPr>
        <w:spacing w:before="160" w:after="0"/>
        <w:shd w:val="clear" w:color="auto" w:fill="ECEEF2"/>
        <w:pBdr>
          <w:left w:val="single" w:sz="24" w:space="8" w:color="E9A23B"/>
        </w:pBdr>
      </w:pPr>
      <w:r>
        <w:rPr>
          <w:rFonts w:ascii="Calibri" w:hAnsi="Calibri"/>
          <w:b/>
          <w:i w:val="0"/>
          <w:color w:val="E9A23B"/>
          <w:sz w:val="22"/>
        </w:rPr>
        <w:t>Deliverable &amp; grading effort</w:t>
      </w:r>
    </w:p>
    <w:p>
      <w:pPr>
        <w:spacing w:before="0" w:after="40"/>
        <w:shd w:val="clear" w:color="auto" w:fill="ECEEF2"/>
        <w:pBdr>
          <w:left w:val="single" w:sz="24" w:space="8" w:color="E9A23B"/>
        </w:pBdr>
      </w:pPr>
      <w:r>
        <w:rPr>
          <w:rFonts w:ascii="Calibri" w:hAnsi="Calibri"/>
          <w:b w:val="0"/>
          <w:i w:val="0"/>
          <w:color w:val="222732"/>
          <w:sz w:val="21"/>
        </w:rPr>
        <w:t>Deliverable: Problem Set 3; Lab 2: Encode a DAG.</w:t>
      </w:r>
    </w:p>
    <w:p>
      <w:pPr>
        <w:spacing w:before="0" w:after="40"/>
        <w:shd w:val="clear" w:color="auto" w:fill="ECEEF2"/>
        <w:pBdr>
          <w:left w:val="single" w:sz="24" w:space="8" w:color="E9A23B"/>
        </w:pBdr>
      </w:pPr>
      <w:r>
        <w:rPr>
          <w:rFonts w:ascii="Calibri" w:hAnsi="Calibri"/>
          <w:b w:val="0"/>
          <w:i w:val="0"/>
          <w:color w:val="222732"/>
          <w:sz w:val="21"/>
        </w:rPr>
        <w:t>Grading: Moderate. PS3 (d-separation &amp; adjustment sets) is mechanical once understood, so grading is mostly checking the path enumeration and the minimal set; ~8 min/student. Lab 2 is verifiable by the independence test it runs.</w:t>
      </w:r>
    </w:p>
    <w:p>
      <w:pPr>
        <w:spacing w:before="0" w:after="0"/>
      </w:pPr>
    </w:p>
    <w:p>
      <w:pPr>
        <w:spacing w:after="120"/>
      </w:pPr>
      <w:r>
        <w:rPr>
          <w:rFonts w:ascii="Calibri" w:hAnsi="Calibri"/>
          <w:b/>
          <w:i w:val="0"/>
          <w:color w:val="4E8C57"/>
          <w:sz w:val="22"/>
        </w:rPr>
        <w:t xml:space="preserve">If short on time:  </w:t>
      </w:r>
      <w:r>
        <w:rPr>
          <w:rFonts w:ascii="Calibri" w:hAnsi="Calibri"/>
          <w:b w:val="0"/>
          <w:i w:val="0"/>
          <w:color w:val="222732"/>
          <w:sz w:val="22"/>
        </w:rPr>
        <w:t>KEEP back-door + collider rule. CUT or assign-as-reading the full front-door derivation and the testable-implications section if the cohort is struggling with d-separation itself.</w:t>
      </w:r>
    </w:p>
    <w:p>
      <w:pPr>
        <w:spacing w:before="200" w:after="40"/>
      </w:pPr>
      <w:r>
        <w:rPr>
          <w:rFonts w:ascii="Calibri" w:hAnsi="Calibri"/>
          <w:b/>
          <w:i w:val="0"/>
          <w:color w:val="2F6DB5"/>
          <w:sz w:val="26"/>
        </w:rPr>
        <w:t>Week 5 — Regression &amp; Adjustment</w:t>
      </w:r>
    </w:p>
    <w:p>
      <w:pPr>
        <w:spacing w:after="120"/>
      </w:pPr>
      <w:r>
        <w:rPr>
          <w:rFonts w:ascii="Calibri" w:hAnsi="Calibri"/>
          <w:b w:val="0"/>
          <w:i/>
          <w:color w:val="7F8694"/>
          <w:sz w:val="22"/>
        </w:rPr>
        <w:t>Block II — Adjustment for confounding</w:t>
      </w:r>
    </w:p>
    <w:p>
      <w:pPr>
        <w:spacing w:after="120"/>
      </w:pPr>
      <w:r>
        <w:rPr>
          <w:rFonts w:ascii="Calibri" w:hAnsi="Calibri"/>
          <w:b/>
          <w:i w:val="0"/>
          <w:color w:val="2F6DB5"/>
          <w:sz w:val="22"/>
        </w:rPr>
        <w:t xml:space="preserve">The point.  </w:t>
      </w:r>
      <w:r>
        <w:rPr>
          <w:rFonts w:ascii="Calibri" w:hAnsi="Calibri"/>
          <w:b w:val="0"/>
          <w:i w:val="0"/>
          <w:color w:val="222732"/>
          <w:sz w:val="22"/>
        </w:rPr>
        <w:t>OLS recovers a causal effect only when you condition on the right covariate set — and 'the right set' is dictated by the graph, because adjusting for a mediator or collider manufactures bias.</w:t>
      </w:r>
    </w:p>
    <w:p>
      <w:pPr>
        <w:spacing w:after="120"/>
      </w:pPr>
      <w:r>
        <w:rPr>
          <w:rFonts w:ascii="Calibri" w:hAnsi="Calibri"/>
          <w:b/>
          <w:i w:val="0"/>
          <w:color w:val="222732"/>
          <w:sz w:val="22"/>
        </w:rPr>
        <w:t>Students must leave with:</w:t>
      </w:r>
    </w:p>
    <w:p>
      <w:pPr>
        <w:pStyle w:val="ListBullet"/>
        <w:spacing w:after="60"/>
      </w:pPr>
      <w:r>
        <w:rPr>
          <w:rFonts w:ascii="Calibri" w:hAnsi="Calibri"/>
          <w:b w:val="0"/>
          <w:i w:val="0"/>
          <w:color w:val="222732"/>
          <w:sz w:val="22"/>
        </w:rPr>
        <w:t>Regression is a covariate-adjusted, weighted-average comparison — not a magic causal machine.</w:t>
      </w:r>
    </w:p>
    <w:p>
      <w:pPr>
        <w:pStyle w:val="ListBullet"/>
        <w:spacing w:after="60"/>
      </w:pPr>
      <w:r>
        <w:rPr>
          <w:rFonts w:ascii="Calibri" w:hAnsi="Calibri"/>
          <w:b w:val="0"/>
          <w:i w:val="0"/>
          <w:color w:val="222732"/>
          <w:sz w:val="22"/>
        </w:rPr>
        <w:t>Good controls (confounders) remove bias; bad controls (mediators, colliders, M-bias traps) add it. Improving fit is NOT the criterion.</w:t>
      </w:r>
    </w:p>
    <w:p>
      <w:pPr>
        <w:pStyle w:val="ListBullet"/>
        <w:spacing w:after="60"/>
      </w:pPr>
      <w:r>
        <w:rPr>
          <w:rFonts w:ascii="Calibri" w:hAnsi="Calibri"/>
          <w:b w:val="0"/>
          <w:i w:val="0"/>
          <w:color w:val="222732"/>
          <w:sz w:val="22"/>
        </w:rPr>
        <w:t>The Table 2 fallacy: a coefficient on a covariate is not, in general, that covariate's own causal effect.</w:t>
      </w:r>
    </w:p>
    <w:p>
      <w:pPr>
        <w:spacing w:after="120"/>
      </w:pPr>
      <w:r>
        <w:rPr>
          <w:rFonts w:ascii="Calibri" w:hAnsi="Calibri"/>
          <w:b/>
          <w:i w:val="0"/>
          <w:color w:val="C0504D"/>
          <w:sz w:val="22"/>
        </w:rPr>
        <w:t>Where they stumble:</w:t>
      </w:r>
    </w:p>
    <w:p>
      <w:pPr>
        <w:pStyle w:val="ListBullet"/>
        <w:spacing w:after="60"/>
      </w:pPr>
      <w:r>
        <w:rPr>
          <w:rFonts w:ascii="Calibri" w:hAnsi="Calibri"/>
          <w:b w:val="0"/>
          <w:i w:val="0"/>
          <w:color w:val="222732"/>
          <w:sz w:val="22"/>
        </w:rPr>
        <w:t>'But it raised my R-squared / lowered my p-value' — students keep using fit as a control-selection rule. Confront it head-on.</w:t>
      </w:r>
    </w:p>
    <w:p>
      <w:pPr>
        <w:pStyle w:val="ListBullet"/>
        <w:spacing w:after="60"/>
      </w:pPr>
      <w:r>
        <w:rPr>
          <w:rFonts w:ascii="Calibri" w:hAnsi="Calibri"/>
          <w:b w:val="0"/>
          <w:i w:val="0"/>
          <w:color w:val="222732"/>
          <w:sz w:val="22"/>
        </w:rPr>
        <w:t>Every coefficient in the table gets a causal reading (Table 2 fallacy); the birth-weight paradox makes the danger concrete.</w:t>
      </w:r>
    </w:p>
    <w:p>
      <w:pPr>
        <w:pStyle w:val="ListBullet"/>
        <w:spacing w:after="60"/>
      </w:pPr>
      <w:r>
        <w:rPr>
          <w:rFonts w:ascii="Calibri" w:hAnsi="Calibri"/>
          <w:b w:val="0"/>
          <w:i w:val="0"/>
          <w:color w:val="222732"/>
          <w:sz w:val="22"/>
        </w:rPr>
        <w:t>Mediators feel like 'good controls' because they are pre-outcome and predictive — clarify why adjusting for them is wrong for the total effect.</w:t>
      </w:r>
    </w:p>
    <w:p>
      <w:pPr>
        <w:spacing w:after="120"/>
      </w:pPr>
      <w:r>
        <w:rPr>
          <w:rFonts w:ascii="Calibri" w:hAnsi="Calibri"/>
          <w:b/>
          <w:i w:val="0"/>
          <w:color w:val="222732"/>
          <w:sz w:val="22"/>
        </w:rPr>
        <w:t>Discussion prompts:</w:t>
      </w:r>
    </w:p>
    <w:p>
      <w:pPr>
        <w:pStyle w:val="ListBullet"/>
        <w:spacing w:after="60"/>
      </w:pPr>
      <w:r>
        <w:rPr>
          <w:rFonts w:ascii="Calibri" w:hAnsi="Calibri"/>
          <w:b/>
          <w:i w:val="0"/>
          <w:color w:val="222732"/>
          <w:sz w:val="22"/>
        </w:rPr>
        <w:t xml:space="preserve">1. </w:t>
      </w:r>
      <w:r>
        <w:rPr>
          <w:rFonts w:ascii="Calibri" w:hAnsi="Calibri"/>
          <w:b w:val="0"/>
          <w:i w:val="0"/>
          <w:color w:val="222732"/>
          <w:sz w:val="22"/>
        </w:rPr>
        <w:t>You add a control and the treatment coefficient moves a lot. Name two graph structures that would each produce that, with opposite implications.</w:t>
      </w:r>
    </w:p>
    <w:p>
      <w:pPr>
        <w:pStyle w:val="ListBullet"/>
        <w:spacing w:after="60"/>
      </w:pPr>
      <w:r>
        <w:rPr>
          <w:rFonts w:ascii="Calibri" w:hAnsi="Calibri"/>
          <w:b/>
          <w:i w:val="0"/>
          <w:color w:val="222732"/>
          <w:sz w:val="22"/>
        </w:rPr>
        <w:t xml:space="preserve">2. </w:t>
      </w:r>
      <w:r>
        <w:rPr>
          <w:rFonts w:ascii="Calibri" w:hAnsi="Calibri"/>
          <w:b w:val="0"/>
          <w:i w:val="0"/>
          <w:color w:val="222732"/>
          <w:sz w:val="22"/>
        </w:rPr>
        <w:t>Take a published regression table — which coefficients can be read causally, and which fall to the Table 2 fallacy?</w:t>
      </w:r>
    </w:p>
    <w:p>
      <w:pPr>
        <w:pStyle w:val="ListBullet"/>
        <w:spacing w:after="60"/>
      </w:pPr>
      <w:r>
        <w:rPr>
          <w:rFonts w:ascii="Calibri" w:hAnsi="Calibri"/>
          <w:b/>
          <w:i w:val="0"/>
          <w:color w:val="222732"/>
          <w:sz w:val="22"/>
        </w:rPr>
        <w:t xml:space="preserve">3. </w:t>
      </w:r>
      <w:r>
        <w:rPr>
          <w:rFonts w:ascii="Calibri" w:hAnsi="Calibri"/>
          <w:b w:val="0"/>
          <w:i w:val="0"/>
          <w:color w:val="222732"/>
          <w:sz w:val="22"/>
        </w:rPr>
        <w:t>When is a neutral control (pure outcome predictor) worth adding anyway?</w:t>
      </w:r>
    </w:p>
    <w:p>
      <w:pPr>
        <w:spacing w:after="120"/>
      </w:pPr>
      <w:r>
        <w:rPr>
          <w:rFonts w:ascii="Calibri" w:hAnsi="Calibri"/>
          <w:b/>
          <w:i w:val="0"/>
          <w:color w:val="222732"/>
          <w:sz w:val="22"/>
        </w:rPr>
        <w:t>Slow down on:</w:t>
      </w:r>
    </w:p>
    <w:p>
      <w:pPr>
        <w:pStyle w:val="ListBullet"/>
        <w:spacing w:after="60"/>
      </w:pPr>
      <w:r>
        <w:rPr>
          <w:rFonts w:ascii="Calibri" w:hAnsi="Calibri"/>
          <w:b w:val="0"/>
          <w:i w:val="0"/>
          <w:color w:val="222732"/>
          <w:sz w:val="22"/>
        </w:rPr>
        <w:t>The good-control / bad-control catalog tied to a single DAG, one case at a time.</w:t>
      </w:r>
    </w:p>
    <w:p>
      <w:pPr>
        <w:pStyle w:val="ListBullet"/>
        <w:spacing w:after="60"/>
      </w:pPr>
      <w:r>
        <w:rPr>
          <w:rFonts w:ascii="Calibri" w:hAnsi="Calibri"/>
          <w:b w:val="0"/>
          <w:i w:val="0"/>
          <w:color w:val="222732"/>
          <w:sz w:val="22"/>
        </w:rPr>
        <w:t>The Table 2 fallacy demonstration on a single fitted model.</w:t>
      </w:r>
    </w:p>
    <w:p>
      <w:pPr>
        <w:spacing w:before="160" w:after="0"/>
        <w:shd w:val="clear" w:color="auto" w:fill="ECEEF2"/>
        <w:pBdr>
          <w:left w:val="single" w:sz="24" w:space="8" w:color="E9A23B"/>
        </w:pBdr>
      </w:pPr>
      <w:r>
        <w:rPr>
          <w:rFonts w:ascii="Calibri" w:hAnsi="Calibri"/>
          <w:b/>
          <w:i w:val="0"/>
          <w:color w:val="E9A23B"/>
          <w:sz w:val="22"/>
        </w:rPr>
        <w:t>Deliverable &amp; grading effort</w:t>
      </w:r>
    </w:p>
    <w:p>
      <w:pPr>
        <w:spacing w:before="0" w:after="40"/>
        <w:shd w:val="clear" w:color="auto" w:fill="ECEEF2"/>
        <w:pBdr>
          <w:left w:val="single" w:sz="24" w:space="8" w:color="E9A23B"/>
        </w:pBdr>
      </w:pPr>
      <w:r>
        <w:rPr>
          <w:rFonts w:ascii="Calibri" w:hAnsi="Calibri"/>
          <w:b w:val="0"/>
          <w:i w:val="0"/>
          <w:color w:val="222732"/>
          <w:sz w:val="21"/>
        </w:rPr>
        <w:t>Deliverable: Problem Set 4; Workshop 5: Good &amp; bad controls.</w:t>
      </w:r>
    </w:p>
    <w:p>
      <w:pPr>
        <w:spacing w:before="0" w:after="40"/>
        <w:shd w:val="clear" w:color="auto" w:fill="ECEEF2"/>
        <w:pBdr>
          <w:left w:val="single" w:sz="24" w:space="8" w:color="E9A23B"/>
        </w:pBdr>
      </w:pPr>
      <w:r>
        <w:rPr>
          <w:rFonts w:ascii="Calibri" w:hAnsi="Calibri"/>
          <w:b w:val="0"/>
          <w:i w:val="0"/>
          <w:color w:val="222732"/>
          <w:sz w:val="21"/>
        </w:rPr>
        <w:t>Grading: Moderate. PS4 is a classification grid (good/bad/collider/neutral/M-bias) with justifications — read the reasoning, ~8 min/student. Workshop 5 compares each estimate to a known truth, so it self-checks.</w:t>
      </w:r>
    </w:p>
    <w:p>
      <w:pPr>
        <w:spacing w:before="0" w:after="0"/>
      </w:pPr>
    </w:p>
    <w:p>
      <w:pPr>
        <w:spacing w:after="120"/>
      </w:pPr>
      <w:r>
        <w:rPr>
          <w:rFonts w:ascii="Calibri" w:hAnsi="Calibri"/>
          <w:b/>
          <w:i w:val="0"/>
          <w:color w:val="4E8C57"/>
          <w:sz w:val="22"/>
        </w:rPr>
        <w:t xml:space="preserve">If short on time:  </w:t>
      </w:r>
      <w:r>
        <w:rPr>
          <w:rFonts w:ascii="Calibri" w:hAnsi="Calibri"/>
          <w:b w:val="0"/>
          <w:i w:val="0"/>
          <w:color w:val="222732"/>
          <w:sz w:val="22"/>
        </w:rPr>
        <w:t>KEEP good-vs-bad controls and Table 2. CUT the CEF formalism to a footnote if your students are not coming from an econometrics background.</w:t>
      </w:r>
    </w:p>
    <w:p>
      <w:pPr>
        <w:spacing w:before="200" w:after="40"/>
      </w:pPr>
      <w:r>
        <w:rPr>
          <w:rFonts w:ascii="Calibri" w:hAnsi="Calibri"/>
          <w:b/>
          <w:i w:val="0"/>
          <w:color w:val="2F6DB5"/>
          <w:sz w:val="26"/>
        </w:rPr>
        <w:t>Week 6 — Matching &amp; Propensity Scores</w:t>
      </w:r>
    </w:p>
    <w:p>
      <w:pPr>
        <w:spacing w:after="120"/>
      </w:pPr>
      <w:r>
        <w:rPr>
          <w:rFonts w:ascii="Calibri" w:hAnsi="Calibri"/>
          <w:b w:val="0"/>
          <w:i/>
          <w:color w:val="7F8694"/>
          <w:sz w:val="22"/>
        </w:rPr>
        <w:t>Block II — Adjustment for confounding</w:t>
      </w:r>
    </w:p>
    <w:p>
      <w:pPr>
        <w:spacing w:after="120"/>
      </w:pPr>
      <w:r>
        <w:rPr>
          <w:rFonts w:ascii="Calibri" w:hAnsi="Calibri"/>
          <w:b/>
          <w:i w:val="0"/>
          <w:color w:val="2F6DB5"/>
          <w:sz w:val="22"/>
        </w:rPr>
        <w:t xml:space="preserve">The point.  </w:t>
      </w:r>
      <w:r>
        <w:rPr>
          <w:rFonts w:ascii="Calibri" w:hAnsi="Calibri"/>
          <w:b w:val="0"/>
          <w:i w:val="0"/>
          <w:color w:val="222732"/>
          <w:sz w:val="22"/>
        </w:rPr>
        <w:t>Matching and the propensity score recover a randomized comparison from observational data by making treated and control groups share a covariate distribution within the analysis sample.</w:t>
      </w:r>
    </w:p>
    <w:p>
      <w:pPr>
        <w:spacing w:after="120"/>
      </w:pPr>
      <w:r>
        <w:rPr>
          <w:rFonts w:ascii="Calibri" w:hAnsi="Calibri"/>
          <w:b/>
          <w:i w:val="0"/>
          <w:color w:val="222732"/>
          <w:sz w:val="22"/>
        </w:rPr>
        <w:t>Students must leave with:</w:t>
      </w:r>
    </w:p>
    <w:p>
      <w:pPr>
        <w:pStyle w:val="ListBullet"/>
        <w:spacing w:after="60"/>
      </w:pPr>
      <w:r>
        <w:rPr>
          <w:rFonts w:ascii="Calibri" w:hAnsi="Calibri"/>
          <w:b w:val="0"/>
          <w:i w:val="0"/>
          <w:color w:val="222732"/>
          <w:sz w:val="22"/>
        </w:rPr>
        <w:t>The propensity score e(X)=P(D=1|X) is a balancing score: conditioning on that one number removes covariate-induced confounding.</w:t>
      </w:r>
    </w:p>
    <w:p>
      <w:pPr>
        <w:pStyle w:val="ListBullet"/>
        <w:spacing w:after="60"/>
      </w:pPr>
      <w:r>
        <w:rPr>
          <w:rFonts w:ascii="Calibri" w:hAnsi="Calibri"/>
          <w:b w:val="0"/>
          <w:i w:val="0"/>
          <w:color w:val="222732"/>
          <w:sz w:val="22"/>
        </w:rPr>
        <w:t>Balance is the thing you check (SMD, love-plot) — model fit of the propensity score is not the goal.</w:t>
      </w:r>
    </w:p>
    <w:p>
      <w:pPr>
        <w:pStyle w:val="ListBullet"/>
        <w:spacing w:after="60"/>
      </w:pPr>
      <w:r>
        <w:rPr>
          <w:rFonts w:ascii="Calibri" w:hAnsi="Calibri"/>
          <w:b w:val="0"/>
          <w:i w:val="0"/>
          <w:color w:val="222732"/>
          <w:sz w:val="22"/>
        </w:rPr>
        <w:t>Common support / overlap determines who you can compare; trimming changes the estimand.</w:t>
      </w:r>
    </w:p>
    <w:p>
      <w:pPr>
        <w:spacing w:after="120"/>
      </w:pPr>
      <w:r>
        <w:rPr>
          <w:rFonts w:ascii="Calibri" w:hAnsi="Calibri"/>
          <w:b/>
          <w:i w:val="0"/>
          <w:color w:val="C0504D"/>
          <w:sz w:val="22"/>
        </w:rPr>
        <w:t>Where they stumble:</w:t>
      </w:r>
    </w:p>
    <w:p>
      <w:pPr>
        <w:pStyle w:val="ListBullet"/>
        <w:spacing w:after="60"/>
      </w:pPr>
      <w:r>
        <w:rPr>
          <w:rFonts w:ascii="Calibri" w:hAnsi="Calibri"/>
          <w:b w:val="0"/>
          <w:i w:val="0"/>
          <w:color w:val="222732"/>
          <w:sz w:val="22"/>
        </w:rPr>
        <w:t>Students chase a high-AUC propensity model; remind them the score is a means to balance, and a perfectly predictive score destroys overlap.</w:t>
      </w:r>
    </w:p>
    <w:p>
      <w:pPr>
        <w:pStyle w:val="ListBullet"/>
        <w:spacing w:after="60"/>
      </w:pPr>
      <w:r>
        <w:rPr>
          <w:rFonts w:ascii="Calibri" w:hAnsi="Calibri"/>
          <w:b w:val="0"/>
          <w:i w:val="0"/>
          <w:color w:val="222732"/>
          <w:sz w:val="22"/>
        </w:rPr>
        <w:t>They report naive post-matching standard errors; flag that matching induces dependence the naive SE ignores.</w:t>
      </w:r>
    </w:p>
    <w:p>
      <w:pPr>
        <w:pStyle w:val="ListBullet"/>
        <w:spacing w:after="60"/>
      </w:pPr>
      <w:r>
        <w:rPr>
          <w:rFonts w:ascii="Calibri" w:hAnsi="Calibri"/>
          <w:b w:val="0"/>
          <w:i w:val="0"/>
          <w:color w:val="222732"/>
          <w:sz w:val="22"/>
        </w:rPr>
        <w:t>ATT vs ATE under matching gets blurred — matching on treated units targets the ATT by construction.</w:t>
      </w:r>
    </w:p>
    <w:p>
      <w:pPr>
        <w:spacing w:after="120"/>
      </w:pPr>
      <w:r>
        <w:rPr>
          <w:rFonts w:ascii="Calibri" w:hAnsi="Calibri"/>
          <w:b/>
          <w:i w:val="0"/>
          <w:color w:val="222732"/>
          <w:sz w:val="22"/>
        </w:rPr>
        <w:t>Discussion prompts:</w:t>
      </w:r>
    </w:p>
    <w:p>
      <w:pPr>
        <w:pStyle w:val="ListBullet"/>
        <w:spacing w:after="60"/>
      </w:pPr>
      <w:r>
        <w:rPr>
          <w:rFonts w:ascii="Calibri" w:hAnsi="Calibri"/>
          <w:b/>
          <w:i w:val="0"/>
          <w:color w:val="222732"/>
          <w:sz w:val="22"/>
        </w:rPr>
        <w:t xml:space="preserve">1. </w:t>
      </w:r>
      <w:r>
        <w:rPr>
          <w:rFonts w:ascii="Calibri" w:hAnsi="Calibri"/>
          <w:b w:val="0"/>
          <w:i w:val="0"/>
          <w:color w:val="222732"/>
          <w:sz w:val="22"/>
        </w:rPr>
        <w:t>Your propensity model has near-perfect AUC. Is that good news? What does it imply about overlap?</w:t>
      </w:r>
    </w:p>
    <w:p>
      <w:pPr>
        <w:pStyle w:val="ListBullet"/>
        <w:spacing w:after="60"/>
      </w:pPr>
      <w:r>
        <w:rPr>
          <w:rFonts w:ascii="Calibri" w:hAnsi="Calibri"/>
          <w:b/>
          <w:i w:val="0"/>
          <w:color w:val="222732"/>
          <w:sz w:val="22"/>
        </w:rPr>
        <w:t xml:space="preserve">2. </w:t>
      </w:r>
      <w:r>
        <w:rPr>
          <w:rFonts w:ascii="Calibri" w:hAnsi="Calibri"/>
          <w:b w:val="0"/>
          <w:i w:val="0"/>
          <w:color w:val="222732"/>
          <w:sz w:val="22"/>
        </w:rPr>
        <w:t>After trimming non-overlapping units, whose effect are you now estimating, and to whom does it generalize?</w:t>
      </w:r>
    </w:p>
    <w:p>
      <w:pPr>
        <w:pStyle w:val="ListBullet"/>
        <w:spacing w:after="60"/>
      </w:pPr>
      <w:r>
        <w:rPr>
          <w:rFonts w:ascii="Calibri" w:hAnsi="Calibri"/>
          <w:b/>
          <w:i w:val="0"/>
          <w:color w:val="222732"/>
          <w:sz w:val="22"/>
        </w:rPr>
        <w:t xml:space="preserve">3. </w:t>
      </w:r>
      <w:r>
        <w:rPr>
          <w:rFonts w:ascii="Calibri" w:hAnsi="Calibri"/>
          <w:b w:val="0"/>
          <w:i w:val="0"/>
          <w:color w:val="222732"/>
          <w:sz w:val="22"/>
        </w:rPr>
        <w:t>Two matched analyses report the same point estimate but different SEs — what could explain it?</w:t>
      </w:r>
    </w:p>
    <w:p>
      <w:pPr>
        <w:spacing w:after="120"/>
      </w:pPr>
      <w:r>
        <w:rPr>
          <w:rFonts w:ascii="Calibri" w:hAnsi="Calibri"/>
          <w:b/>
          <w:i w:val="0"/>
          <w:color w:val="222732"/>
          <w:sz w:val="22"/>
        </w:rPr>
        <w:t>Slow down on:</w:t>
      </w:r>
    </w:p>
    <w:p>
      <w:pPr>
        <w:pStyle w:val="ListBullet"/>
        <w:spacing w:after="60"/>
      </w:pPr>
      <w:r>
        <w:rPr>
          <w:rFonts w:ascii="Calibri" w:hAnsi="Calibri"/>
          <w:b w:val="0"/>
          <w:i w:val="0"/>
          <w:color w:val="222732"/>
          <w:sz w:val="22"/>
        </w:rPr>
        <w:t>The balancing-score argument: why one scalar can substitute for the whole covariate vector.</w:t>
      </w:r>
    </w:p>
    <w:p>
      <w:pPr>
        <w:pStyle w:val="ListBullet"/>
        <w:spacing w:after="60"/>
      </w:pPr>
      <w:r>
        <w:rPr>
          <w:rFonts w:ascii="Calibri" w:hAnsi="Calibri"/>
          <w:b w:val="0"/>
          <w:i w:val="0"/>
          <w:color w:val="222732"/>
          <w:sz w:val="22"/>
        </w:rPr>
        <w:t>Reading a love-plot — before/after SMDs — as the diagnostic that earns the design.</w:t>
      </w:r>
    </w:p>
    <w:p>
      <w:pPr>
        <w:spacing w:before="160" w:after="0"/>
        <w:shd w:val="clear" w:color="auto" w:fill="ECEEF2"/>
        <w:pBdr>
          <w:left w:val="single" w:sz="24" w:space="8" w:color="E9A23B"/>
        </w:pBdr>
      </w:pPr>
      <w:r>
        <w:rPr>
          <w:rFonts w:ascii="Calibri" w:hAnsi="Calibri"/>
          <w:b/>
          <w:i w:val="0"/>
          <w:color w:val="E9A23B"/>
          <w:sz w:val="22"/>
        </w:rPr>
        <w:t>Deliverable &amp; grading effort</w:t>
      </w:r>
    </w:p>
    <w:p>
      <w:pPr>
        <w:spacing w:before="0" w:after="40"/>
        <w:shd w:val="clear" w:color="auto" w:fill="ECEEF2"/>
        <w:pBdr>
          <w:left w:val="single" w:sz="24" w:space="8" w:color="E9A23B"/>
        </w:pBdr>
      </w:pPr>
      <w:r>
        <w:rPr>
          <w:rFonts w:ascii="Calibri" w:hAnsi="Calibri"/>
          <w:b w:val="0"/>
          <w:i w:val="0"/>
          <w:color w:val="222732"/>
          <w:sz w:val="21"/>
        </w:rPr>
        <w:t>Deliverable: Concept Set 6; Lab 3: Matching &amp; balance.</w:t>
      </w:r>
    </w:p>
    <w:p>
      <w:pPr>
        <w:spacing w:before="0" w:after="40"/>
        <w:shd w:val="clear" w:color="auto" w:fill="ECEEF2"/>
        <w:pBdr>
          <w:left w:val="single" w:sz="24" w:space="8" w:color="E9A23B"/>
        </w:pBdr>
      </w:pPr>
      <w:r>
        <w:rPr>
          <w:rFonts w:ascii="Calibri" w:hAnsi="Calibri"/>
          <w:b w:val="0"/>
          <w:i w:val="0"/>
          <w:color w:val="222732"/>
          <w:sz w:val="21"/>
        </w:rPr>
        <w:t>Grading: Moderate. Concept Set 6 is short-answer conceptual. Lab 3 (estimate PS, match, check balance, report ATT) is the graded centerpiece — ~12 min/student; require the love-plot as evidence.</w:t>
      </w:r>
    </w:p>
    <w:p>
      <w:pPr>
        <w:spacing w:before="0" w:after="0"/>
      </w:pPr>
    </w:p>
    <w:p>
      <w:pPr>
        <w:spacing w:after="120"/>
      </w:pPr>
      <w:r>
        <w:rPr>
          <w:rFonts w:ascii="Calibri" w:hAnsi="Calibri"/>
          <w:b/>
          <w:i w:val="0"/>
          <w:color w:val="4E8C57"/>
          <w:sz w:val="22"/>
        </w:rPr>
        <w:t xml:space="preserve">If short on time:  </w:t>
      </w:r>
      <w:r>
        <w:rPr>
          <w:rFonts w:ascii="Calibri" w:hAnsi="Calibri"/>
          <w:b w:val="0"/>
          <w:i w:val="0"/>
          <w:color w:val="222732"/>
          <w:sz w:val="22"/>
        </w:rPr>
        <w:t>KEEP balancing score + balance diagnostics + ATT. CUT coarsened exact matching to a brief mention if you must compress.</w:t>
      </w:r>
    </w:p>
    <w:p>
      <w:pPr>
        <w:spacing w:before="200" w:after="40"/>
      </w:pPr>
      <w:r>
        <w:rPr>
          <w:rFonts w:ascii="Calibri" w:hAnsi="Calibri"/>
          <w:b/>
          <w:i w:val="0"/>
          <w:color w:val="2F6DB5"/>
          <w:sz w:val="26"/>
        </w:rPr>
        <w:t>Week 7 — Weighting &amp; Doubly Robust Estimation</w:t>
      </w:r>
    </w:p>
    <w:p>
      <w:pPr>
        <w:spacing w:after="120"/>
      </w:pPr>
      <w:r>
        <w:rPr>
          <w:rFonts w:ascii="Calibri" w:hAnsi="Calibri"/>
          <w:b w:val="0"/>
          <w:i/>
          <w:color w:val="7F8694"/>
          <w:sz w:val="22"/>
        </w:rPr>
        <w:t>Block II — Adjustment for confounding</w:t>
      </w:r>
    </w:p>
    <w:p>
      <w:pPr>
        <w:spacing w:after="120"/>
      </w:pPr>
      <w:r>
        <w:rPr>
          <w:rFonts w:ascii="Calibri" w:hAnsi="Calibri"/>
          <w:b/>
          <w:i w:val="0"/>
          <w:color w:val="2F6DB5"/>
          <w:sz w:val="22"/>
        </w:rPr>
        <w:t xml:space="preserve">The point.  </w:t>
      </w:r>
      <w:r>
        <w:rPr>
          <w:rFonts w:ascii="Calibri" w:hAnsi="Calibri"/>
          <w:b w:val="0"/>
          <w:i w:val="0"/>
          <w:color w:val="222732"/>
          <w:sz w:val="22"/>
        </w:rPr>
        <w:t>Inverse-probability weighting rebuilds a pseudo-population where treatment is unconfounded; augmenting it with an outcome model gives the doubly robust estimator — you only need to win ONE of two bets.</w:t>
      </w:r>
    </w:p>
    <w:p>
      <w:pPr>
        <w:spacing w:after="120"/>
      </w:pPr>
      <w:r>
        <w:rPr>
          <w:rFonts w:ascii="Calibri" w:hAnsi="Calibri"/>
          <w:b/>
          <w:i w:val="0"/>
          <w:color w:val="222732"/>
          <w:sz w:val="22"/>
        </w:rPr>
        <w:t>Students must leave with:</w:t>
      </w:r>
    </w:p>
    <w:p>
      <w:pPr>
        <w:pStyle w:val="ListBullet"/>
        <w:spacing w:after="60"/>
      </w:pPr>
      <w:r>
        <w:rPr>
          <w:rFonts w:ascii="Calibri" w:hAnsi="Calibri"/>
          <w:b w:val="0"/>
          <w:i w:val="0"/>
          <w:color w:val="222732"/>
          <w:sz w:val="22"/>
        </w:rPr>
        <w:t>A weight is 1 / P(observed treatment | X); weighting creates a pseudo-population in which treatment is independent of measured confounders.</w:t>
      </w:r>
    </w:p>
    <w:p>
      <w:pPr>
        <w:pStyle w:val="ListBullet"/>
        <w:spacing w:after="60"/>
      </w:pPr>
      <w:r>
        <w:rPr>
          <w:rFonts w:ascii="Calibri" w:hAnsi="Calibri"/>
          <w:b w:val="0"/>
          <w:i w:val="0"/>
          <w:color w:val="222732"/>
          <w:sz w:val="22"/>
        </w:rPr>
        <w:t>Stabilized (Hajek) weights and truncation tame extreme weights, which are a symptom of near-positivity violations.</w:t>
      </w:r>
    </w:p>
    <w:p>
      <w:pPr>
        <w:pStyle w:val="ListBullet"/>
        <w:spacing w:after="60"/>
      </w:pPr>
      <w:r>
        <w:rPr>
          <w:rFonts w:ascii="Calibri" w:hAnsi="Calibri"/>
          <w:b w:val="0"/>
          <w:i w:val="0"/>
          <w:color w:val="222732"/>
          <w:sz w:val="22"/>
        </w:rPr>
        <w:t>The doubly robust / AIPW estimator stays consistent if EITHER the propensity model OR the outcome model is correct.</w:t>
      </w:r>
    </w:p>
    <w:p>
      <w:pPr>
        <w:spacing w:after="120"/>
      </w:pPr>
      <w:r>
        <w:rPr>
          <w:rFonts w:ascii="Calibri" w:hAnsi="Calibri"/>
          <w:b/>
          <w:i w:val="0"/>
          <w:color w:val="C0504D"/>
          <w:sz w:val="22"/>
        </w:rPr>
        <w:t>Where they stumble:</w:t>
      </w:r>
    </w:p>
    <w:p>
      <w:pPr>
        <w:pStyle w:val="ListBullet"/>
        <w:spacing w:after="60"/>
      </w:pPr>
      <w:r>
        <w:rPr>
          <w:rFonts w:ascii="Calibri" w:hAnsi="Calibri"/>
          <w:b w:val="0"/>
          <w:i w:val="0"/>
          <w:color w:val="222732"/>
          <w:sz w:val="22"/>
        </w:rPr>
        <w:t>Extreme weights are seen as a nuisance to be clipped, not a warning about positivity — make the diagnosis, not just the fix.</w:t>
      </w:r>
    </w:p>
    <w:p>
      <w:pPr>
        <w:pStyle w:val="ListBullet"/>
        <w:spacing w:after="60"/>
      </w:pPr>
      <w:r>
        <w:rPr>
          <w:rFonts w:ascii="Calibri" w:hAnsi="Calibri"/>
          <w:b w:val="0"/>
          <w:i w:val="0"/>
          <w:color w:val="222732"/>
          <w:sz w:val="22"/>
        </w:rPr>
        <w:t>'Doubly robust = twice as accurate' is a misread; it is a robustness property (one-of-two), not a precision boost.</w:t>
      </w:r>
    </w:p>
    <w:p>
      <w:pPr>
        <w:pStyle w:val="ListBullet"/>
        <w:spacing w:after="60"/>
      </w:pPr>
      <w:r>
        <w:rPr>
          <w:rFonts w:ascii="Calibri" w:hAnsi="Calibri"/>
          <w:b w:val="0"/>
          <w:i w:val="0"/>
          <w:color w:val="222732"/>
          <w:sz w:val="22"/>
        </w:rPr>
        <w:t>Truncation feels like cheating; frame it explicitly as trading a little bias for a lot of variance.</w:t>
      </w:r>
    </w:p>
    <w:p>
      <w:pPr>
        <w:spacing w:after="120"/>
      </w:pPr>
      <w:r>
        <w:rPr>
          <w:rFonts w:ascii="Calibri" w:hAnsi="Calibri"/>
          <w:b/>
          <w:i w:val="0"/>
          <w:color w:val="222732"/>
          <w:sz w:val="22"/>
        </w:rPr>
        <w:t>Discussion prompts:</w:t>
      </w:r>
    </w:p>
    <w:p>
      <w:pPr>
        <w:pStyle w:val="ListBullet"/>
        <w:spacing w:after="60"/>
      </w:pPr>
      <w:r>
        <w:rPr>
          <w:rFonts w:ascii="Calibri" w:hAnsi="Calibri"/>
          <w:b/>
          <w:i w:val="0"/>
          <w:color w:val="222732"/>
          <w:sz w:val="22"/>
        </w:rPr>
        <w:t xml:space="preserve">1. </w:t>
      </w:r>
      <w:r>
        <w:rPr>
          <w:rFonts w:ascii="Calibri" w:hAnsi="Calibri"/>
          <w:b w:val="0"/>
          <w:i w:val="0"/>
          <w:color w:val="222732"/>
          <w:sz w:val="22"/>
        </w:rPr>
        <w:t>Your weights range up to 400. What is that telling you about your data, before you reach for truncation?</w:t>
      </w:r>
    </w:p>
    <w:p>
      <w:pPr>
        <w:pStyle w:val="ListBullet"/>
        <w:spacing w:after="60"/>
      </w:pPr>
      <w:r>
        <w:rPr>
          <w:rFonts w:ascii="Calibri" w:hAnsi="Calibri"/>
          <w:b/>
          <w:i w:val="0"/>
          <w:color w:val="222732"/>
          <w:sz w:val="22"/>
        </w:rPr>
        <w:t xml:space="preserve">2. </w:t>
      </w:r>
      <w:r>
        <w:rPr>
          <w:rFonts w:ascii="Calibri" w:hAnsi="Calibri"/>
          <w:b w:val="0"/>
          <w:i w:val="0"/>
          <w:color w:val="222732"/>
          <w:sz w:val="22"/>
        </w:rPr>
        <w:t>Construct a scenario where the propensity model is wrong but AIPW still recovers the truth — which model is carrying you?</w:t>
      </w:r>
    </w:p>
    <w:p>
      <w:pPr>
        <w:pStyle w:val="ListBullet"/>
        <w:spacing w:after="60"/>
      </w:pPr>
      <w:r>
        <w:rPr>
          <w:rFonts w:ascii="Calibri" w:hAnsi="Calibri"/>
          <w:b/>
          <w:i w:val="0"/>
          <w:color w:val="222732"/>
          <w:sz w:val="22"/>
        </w:rPr>
        <w:t xml:space="preserve">3. </w:t>
      </w:r>
      <w:r>
        <w:rPr>
          <w:rFonts w:ascii="Calibri" w:hAnsi="Calibri"/>
          <w:b w:val="0"/>
          <w:i w:val="0"/>
          <w:color w:val="222732"/>
          <w:sz w:val="22"/>
        </w:rPr>
        <w:t>When would you rather redefine the estimand than truncate weights?</w:t>
      </w:r>
    </w:p>
    <w:p>
      <w:pPr>
        <w:spacing w:after="120"/>
      </w:pPr>
      <w:r>
        <w:rPr>
          <w:rFonts w:ascii="Calibri" w:hAnsi="Calibri"/>
          <w:b/>
          <w:i w:val="0"/>
          <w:color w:val="222732"/>
          <w:sz w:val="22"/>
        </w:rPr>
        <w:t>Slow down on:</w:t>
      </w:r>
    </w:p>
    <w:p>
      <w:pPr>
        <w:pStyle w:val="ListBullet"/>
        <w:spacing w:after="60"/>
      </w:pPr>
      <w:r>
        <w:rPr>
          <w:rFonts w:ascii="Calibri" w:hAnsi="Calibri"/>
          <w:b w:val="0"/>
          <w:i w:val="0"/>
          <w:color w:val="222732"/>
          <w:sz w:val="22"/>
        </w:rPr>
        <w:t>The pseudo-population picture: show the reweighted sample and why it is balanced.</w:t>
      </w:r>
    </w:p>
    <w:p>
      <w:pPr>
        <w:pStyle w:val="ListBullet"/>
        <w:spacing w:after="60"/>
      </w:pPr>
      <w:r>
        <w:rPr>
          <w:rFonts w:ascii="Calibri" w:hAnsi="Calibri"/>
          <w:b w:val="0"/>
          <w:i w:val="0"/>
          <w:color w:val="222732"/>
          <w:sz w:val="22"/>
        </w:rPr>
        <w:t>The AIPW double-robustness demo — break one model at a time and watch the estimate hold.</w:t>
      </w:r>
    </w:p>
    <w:p>
      <w:pPr>
        <w:spacing w:before="160" w:after="0"/>
        <w:shd w:val="clear" w:color="auto" w:fill="ECEEF2"/>
        <w:pBdr>
          <w:left w:val="single" w:sz="24" w:space="8" w:color="E9A23B"/>
        </w:pBdr>
      </w:pPr>
      <w:r>
        <w:rPr>
          <w:rFonts w:ascii="Calibri" w:hAnsi="Calibri"/>
          <w:b/>
          <w:i w:val="0"/>
          <w:color w:val="E9A23B"/>
          <w:sz w:val="22"/>
        </w:rPr>
        <w:t>Deliverable &amp; grading effort</w:t>
      </w:r>
    </w:p>
    <w:p>
      <w:pPr>
        <w:spacing w:before="0" w:after="40"/>
        <w:shd w:val="clear" w:color="auto" w:fill="ECEEF2"/>
        <w:pBdr>
          <w:left w:val="single" w:sz="24" w:space="8" w:color="E9A23B"/>
        </w:pBdr>
      </w:pPr>
      <w:r>
        <w:rPr>
          <w:rFonts w:ascii="Calibri" w:hAnsi="Calibri"/>
          <w:b w:val="0"/>
          <w:i w:val="0"/>
          <w:color w:val="222732"/>
          <w:sz w:val="21"/>
        </w:rPr>
        <w:t>Deliverable: Problem Set 5; Lab 4: IPW &amp; AIPW on a confounded cohort.</w:t>
      </w:r>
    </w:p>
    <w:p>
      <w:pPr>
        <w:spacing w:before="0" w:after="40"/>
        <w:shd w:val="clear" w:color="auto" w:fill="ECEEF2"/>
        <w:pBdr>
          <w:left w:val="single" w:sz="24" w:space="8" w:color="E9A23B"/>
        </w:pBdr>
      </w:pPr>
      <w:r>
        <w:rPr>
          <w:rFonts w:ascii="Calibri" w:hAnsi="Calibri"/>
          <w:b w:val="0"/>
          <w:i w:val="0"/>
          <w:color w:val="222732"/>
          <w:sz w:val="21"/>
        </w:rPr>
        <w:t>Grading: Moderate-to-heavy. PS5 includes a derivation (IPW estimator) and a which-model-may-be-wrong argument — read carefully, ~10 min/student. Lab 4 (IPW then AIPW) self-checks against the known effect.</w:t>
      </w:r>
    </w:p>
    <w:p>
      <w:pPr>
        <w:spacing w:before="0" w:after="0"/>
      </w:pPr>
    </w:p>
    <w:p>
      <w:pPr>
        <w:spacing w:after="120"/>
      </w:pPr>
      <w:r>
        <w:rPr>
          <w:rFonts w:ascii="Calibri" w:hAnsi="Calibri"/>
          <w:b/>
          <w:i w:val="0"/>
          <w:color w:val="4E8C57"/>
          <w:sz w:val="22"/>
        </w:rPr>
        <w:t xml:space="preserve">If short on time:  </w:t>
      </w:r>
      <w:r>
        <w:rPr>
          <w:rFonts w:ascii="Calibri" w:hAnsi="Calibri"/>
          <w:b w:val="0"/>
          <w:i w:val="0"/>
          <w:color w:val="222732"/>
          <w:sz w:val="22"/>
        </w:rPr>
        <w:t>KEEP IPW intuition + double robustness (this is the capstone of Block II and shows up again in DML). CUT the marginal-structural-model framing to a forward pointer if time-pressed.</w:t>
      </w:r>
    </w:p>
    <w:p>
      <w:pPr>
        <w:spacing w:before="200" w:after="40"/>
      </w:pPr>
      <w:r>
        <w:rPr>
          <w:rFonts w:ascii="Calibri" w:hAnsi="Calibri"/>
          <w:b/>
          <w:i w:val="0"/>
          <w:color w:val="2F6DB5"/>
          <w:sz w:val="26"/>
        </w:rPr>
        <w:t>Week 8 — Instrumental Variables &amp; Mendelian Randomization</w:t>
      </w:r>
    </w:p>
    <w:p>
      <w:pPr>
        <w:spacing w:after="120"/>
      </w:pPr>
      <w:r>
        <w:rPr>
          <w:rFonts w:ascii="Calibri" w:hAnsi="Calibri"/>
          <w:b w:val="0"/>
          <w:i/>
          <w:color w:val="7F8694"/>
          <w:sz w:val="22"/>
        </w:rPr>
        <w:t>Block III — Quasi-experimental designs</w:t>
      </w:r>
    </w:p>
    <w:p>
      <w:pPr>
        <w:spacing w:after="120"/>
      </w:pPr>
      <w:r>
        <w:rPr>
          <w:rFonts w:ascii="Calibri" w:hAnsi="Calibri"/>
          <w:b/>
          <w:i w:val="0"/>
          <w:color w:val="2F6DB5"/>
          <w:sz w:val="22"/>
        </w:rPr>
        <w:t xml:space="preserve">The point.  </w:t>
      </w:r>
      <w:r>
        <w:rPr>
          <w:rFonts w:ascii="Calibri" w:hAnsi="Calibri"/>
          <w:b w:val="0"/>
          <w:i w:val="0"/>
          <w:color w:val="222732"/>
          <w:sz w:val="22"/>
        </w:rPr>
        <w:t>An instrument moves treatment but reaches the outcome only through treatment; if that holds, it identifies an effect even with an unmeasured confounder — but only for the compliers it actually moves.</w:t>
      </w:r>
    </w:p>
    <w:p>
      <w:pPr>
        <w:spacing w:after="120"/>
      </w:pPr>
      <w:r>
        <w:rPr>
          <w:rFonts w:ascii="Calibri" w:hAnsi="Calibri"/>
          <w:b/>
          <w:i w:val="0"/>
          <w:color w:val="222732"/>
          <w:sz w:val="22"/>
        </w:rPr>
        <w:t>Students must leave with:</w:t>
      </w:r>
    </w:p>
    <w:p>
      <w:pPr>
        <w:pStyle w:val="ListBullet"/>
        <w:spacing w:after="60"/>
      </w:pPr>
      <w:r>
        <w:rPr>
          <w:rFonts w:ascii="Calibri" w:hAnsi="Calibri"/>
          <w:b w:val="0"/>
          <w:i w:val="0"/>
          <w:color w:val="222732"/>
          <w:sz w:val="22"/>
        </w:rPr>
        <w:t>The four IV assumptions — relevance, exclusion, independence, monotonicity — and which ones the data can and cannot test.</w:t>
      </w:r>
    </w:p>
    <w:p>
      <w:pPr>
        <w:pStyle w:val="ListBullet"/>
        <w:spacing w:after="60"/>
      </w:pPr>
      <w:r>
        <w:rPr>
          <w:rFonts w:ascii="Calibri" w:hAnsi="Calibri"/>
          <w:b w:val="0"/>
          <w:i w:val="0"/>
          <w:color w:val="222732"/>
          <w:sz w:val="22"/>
        </w:rPr>
        <w:t>2SLS is literally two OLS regressions; the fitted first stage strips out the confounding.</w:t>
      </w:r>
    </w:p>
    <w:p>
      <w:pPr>
        <w:pStyle w:val="ListBullet"/>
        <w:spacing w:after="60"/>
      </w:pPr>
      <w:r>
        <w:rPr>
          <w:rFonts w:ascii="Calibri" w:hAnsi="Calibri"/>
          <w:b w:val="0"/>
          <w:i w:val="0"/>
          <w:color w:val="222732"/>
          <w:sz w:val="22"/>
        </w:rPr>
        <w:t>IV identifies the LATE (the compliers' effect), which can differ from the ATE or ATT; weak instruments bias IV toward OLS.</w:t>
      </w:r>
    </w:p>
    <w:p>
      <w:pPr>
        <w:spacing w:after="120"/>
      </w:pPr>
      <w:r>
        <w:rPr>
          <w:rFonts w:ascii="Calibri" w:hAnsi="Calibri"/>
          <w:b/>
          <w:i w:val="0"/>
          <w:color w:val="C0504D"/>
          <w:sz w:val="22"/>
        </w:rPr>
        <w:t>Where they stumble:</w:t>
      </w:r>
    </w:p>
    <w:p>
      <w:pPr>
        <w:pStyle w:val="ListBullet"/>
        <w:spacing w:after="60"/>
      </w:pPr>
      <w:r>
        <w:rPr>
          <w:rFonts w:ascii="Calibri" w:hAnsi="Calibri"/>
          <w:b w:val="0"/>
          <w:i w:val="0"/>
          <w:color w:val="222732"/>
          <w:sz w:val="22"/>
        </w:rPr>
        <w:t>Students believe the exclusion restriction can be 'tested' — stress it is an assumption defended by argument, not a statistic.</w:t>
      </w:r>
    </w:p>
    <w:p>
      <w:pPr>
        <w:pStyle w:val="ListBullet"/>
        <w:spacing w:after="60"/>
      </w:pPr>
      <w:r>
        <w:rPr>
          <w:rFonts w:ascii="Calibri" w:hAnsi="Calibri"/>
          <w:b w:val="0"/>
          <w:i w:val="0"/>
          <w:color w:val="222732"/>
          <w:sz w:val="22"/>
        </w:rPr>
        <w:t>LATE is read as 'the effect' rather than 'the compliers' effect'; keep naming whose effect it is.</w:t>
      </w:r>
    </w:p>
    <w:p>
      <w:pPr>
        <w:pStyle w:val="ListBullet"/>
        <w:spacing w:after="60"/>
      </w:pPr>
      <w:r>
        <w:rPr>
          <w:rFonts w:ascii="Calibri" w:hAnsi="Calibri"/>
          <w:b w:val="0"/>
          <w:i w:val="0"/>
          <w:color w:val="222732"/>
          <w:sz w:val="22"/>
        </w:rPr>
        <w:t>Weak instruments are underestimated — the first-stage F is treated as a formality until they see the variance blow up.</w:t>
      </w:r>
    </w:p>
    <w:p>
      <w:pPr>
        <w:spacing w:after="120"/>
      </w:pPr>
      <w:r>
        <w:rPr>
          <w:rFonts w:ascii="Calibri" w:hAnsi="Calibri"/>
          <w:b/>
          <w:i w:val="0"/>
          <w:color w:val="222732"/>
          <w:sz w:val="22"/>
        </w:rPr>
        <w:t>Discussion prompts:</w:t>
      </w:r>
    </w:p>
    <w:p>
      <w:pPr>
        <w:pStyle w:val="ListBullet"/>
        <w:spacing w:after="60"/>
      </w:pPr>
      <w:r>
        <w:rPr>
          <w:rFonts w:ascii="Calibri" w:hAnsi="Calibri"/>
          <w:b/>
          <w:i w:val="0"/>
          <w:color w:val="222732"/>
          <w:sz w:val="22"/>
        </w:rPr>
        <w:t xml:space="preserve">1. </w:t>
      </w:r>
      <w:r>
        <w:rPr>
          <w:rFonts w:ascii="Calibri" w:hAnsi="Calibri"/>
          <w:b w:val="0"/>
          <w:i w:val="0"/>
          <w:color w:val="222732"/>
          <w:sz w:val="22"/>
        </w:rPr>
        <w:t>Propose an instrument from your field. Argue the exclusion restriction — and then argue against yourself.</w:t>
      </w:r>
    </w:p>
    <w:p>
      <w:pPr>
        <w:pStyle w:val="ListBullet"/>
        <w:spacing w:after="60"/>
      </w:pPr>
      <w:r>
        <w:rPr>
          <w:rFonts w:ascii="Calibri" w:hAnsi="Calibri"/>
          <w:b/>
          <w:i w:val="0"/>
          <w:color w:val="222732"/>
          <w:sz w:val="22"/>
        </w:rPr>
        <w:t xml:space="preserve">2. </w:t>
      </w:r>
      <w:r>
        <w:rPr>
          <w:rFonts w:ascii="Calibri" w:hAnsi="Calibri"/>
          <w:b w:val="0"/>
          <w:i w:val="0"/>
          <w:color w:val="222732"/>
          <w:sz w:val="22"/>
        </w:rPr>
        <w:t>Why can two valid instruments for the same treatment give different LATEs, and is that a contradiction?</w:t>
      </w:r>
    </w:p>
    <w:p>
      <w:pPr>
        <w:pStyle w:val="ListBullet"/>
        <w:spacing w:after="60"/>
      </w:pPr>
      <w:r>
        <w:rPr>
          <w:rFonts w:ascii="Calibri" w:hAnsi="Calibri"/>
          <w:b/>
          <w:i w:val="0"/>
          <w:color w:val="222732"/>
          <w:sz w:val="22"/>
        </w:rPr>
        <w:t xml:space="preserve">3. </w:t>
      </w:r>
      <w:r>
        <w:rPr>
          <w:rFonts w:ascii="Calibri" w:hAnsi="Calibri"/>
          <w:b w:val="0"/>
          <w:i w:val="0"/>
          <w:color w:val="222732"/>
          <w:sz w:val="22"/>
        </w:rPr>
        <w:t>In Mendelian randomization, how exactly does pleiotropy threaten exclusion?</w:t>
      </w:r>
    </w:p>
    <w:p>
      <w:pPr>
        <w:spacing w:after="120"/>
      </w:pPr>
      <w:r>
        <w:rPr>
          <w:rFonts w:ascii="Calibri" w:hAnsi="Calibri"/>
          <w:b/>
          <w:i w:val="0"/>
          <w:color w:val="222732"/>
          <w:sz w:val="22"/>
        </w:rPr>
        <w:t>Slow down on:</w:t>
      </w:r>
    </w:p>
    <w:p>
      <w:pPr>
        <w:pStyle w:val="ListBullet"/>
        <w:spacing w:after="60"/>
      </w:pPr>
      <w:r>
        <w:rPr>
          <w:rFonts w:ascii="Calibri" w:hAnsi="Calibri"/>
          <w:b w:val="0"/>
          <w:i w:val="0"/>
          <w:color w:val="222732"/>
          <w:sz w:val="22"/>
        </w:rPr>
        <w:t>Exclusion vs. independence — students routinely merge them; separate with a graph.</w:t>
      </w:r>
    </w:p>
    <w:p>
      <w:pPr>
        <w:pStyle w:val="ListBullet"/>
        <w:spacing w:after="60"/>
      </w:pPr>
      <w:r>
        <w:rPr>
          <w:rFonts w:ascii="Calibri" w:hAnsi="Calibri"/>
          <w:b w:val="0"/>
          <w:i w:val="0"/>
          <w:color w:val="222732"/>
          <w:sz w:val="22"/>
        </w:rPr>
        <w:t>Building 2SLS by hand so the 'fitted first stage = as-good-as-random part of treatment' clicks.</w:t>
      </w:r>
    </w:p>
    <w:p>
      <w:pPr>
        <w:spacing w:before="160" w:after="0"/>
        <w:shd w:val="clear" w:color="auto" w:fill="ECEEF2"/>
        <w:pBdr>
          <w:left w:val="single" w:sz="24" w:space="8" w:color="E9A23B"/>
        </w:pBdr>
      </w:pPr>
      <w:r>
        <w:rPr>
          <w:rFonts w:ascii="Calibri" w:hAnsi="Calibri"/>
          <w:b/>
          <w:i w:val="0"/>
          <w:color w:val="E9A23B"/>
          <w:sz w:val="22"/>
        </w:rPr>
        <w:t>Deliverable &amp; grading effort</w:t>
      </w:r>
    </w:p>
    <w:p>
      <w:pPr>
        <w:spacing w:before="0" w:after="40"/>
        <w:shd w:val="clear" w:color="auto" w:fill="ECEEF2"/>
        <w:pBdr>
          <w:left w:val="single" w:sz="24" w:space="8" w:color="E9A23B"/>
        </w:pBdr>
      </w:pPr>
      <w:r>
        <w:rPr>
          <w:rFonts w:ascii="Calibri" w:hAnsi="Calibri"/>
          <w:b w:val="0"/>
          <w:i w:val="0"/>
          <w:color w:val="222732"/>
          <w:sz w:val="21"/>
        </w:rPr>
        <w:t>Deliverable: MIDTERM (Weeks 1-7); Problem Set (midterm review + IV); Lab 5: 2SLS + Mendelian randomization.</w:t>
      </w:r>
    </w:p>
    <w:p>
      <w:pPr>
        <w:spacing w:before="0" w:after="40"/>
        <w:shd w:val="clear" w:color="auto" w:fill="ECEEF2"/>
        <w:pBdr>
          <w:left w:val="single" w:sz="24" w:space="8" w:color="E9A23B"/>
        </w:pBdr>
      </w:pPr>
      <w:r>
        <w:rPr>
          <w:rFonts w:ascii="Calibri" w:hAnsi="Calibri"/>
          <w:b w:val="0"/>
          <w:i w:val="0"/>
          <w:color w:val="222732"/>
          <w:sz w:val="21"/>
        </w:rPr>
        <w:t>Grading: Heavy week — it carries the MIDTERM (Weeks 1-7) plus Lab 5. Budget midterm grading separately (plan a rubric and possibly a TA pass). Lab 5 (2SLS + MR pleiotropy check) is ~12 min/student.</w:t>
      </w:r>
    </w:p>
    <w:p>
      <w:pPr>
        <w:spacing w:before="0" w:after="0"/>
      </w:pPr>
    </w:p>
    <w:p>
      <w:pPr>
        <w:spacing w:after="120"/>
      </w:pPr>
      <w:r>
        <w:rPr>
          <w:rFonts w:ascii="Calibri" w:hAnsi="Calibri"/>
          <w:b/>
          <w:i w:val="0"/>
          <w:color w:val="4E8C57"/>
          <w:sz w:val="22"/>
        </w:rPr>
        <w:t xml:space="preserve">If short on time:  </w:t>
      </w:r>
      <w:r>
        <w:rPr>
          <w:rFonts w:ascii="Calibri" w:hAnsi="Calibri"/>
          <w:b w:val="0"/>
          <w:i w:val="0"/>
          <w:color w:val="222732"/>
          <w:sz w:val="22"/>
        </w:rPr>
        <w:t>KEEP the four assumptions, 2SLS-by-hand, and LATE. CUT MR-Egger details to a demonstration-only if the midterm has eaten the week.</w:t>
      </w:r>
    </w:p>
    <w:p>
      <w:pPr>
        <w:spacing w:before="200" w:after="40"/>
      </w:pPr>
      <w:r>
        <w:rPr>
          <w:rFonts w:ascii="Calibri" w:hAnsi="Calibri"/>
          <w:b/>
          <w:i w:val="0"/>
          <w:color w:val="2F6DB5"/>
          <w:sz w:val="26"/>
        </w:rPr>
        <w:t>Week 9 — Regression Discontinuity</w:t>
      </w:r>
    </w:p>
    <w:p>
      <w:pPr>
        <w:spacing w:after="120"/>
      </w:pPr>
      <w:r>
        <w:rPr>
          <w:rFonts w:ascii="Calibri" w:hAnsi="Calibri"/>
          <w:b w:val="0"/>
          <w:i/>
          <w:color w:val="7F8694"/>
          <w:sz w:val="22"/>
        </w:rPr>
        <w:t>Block III — Quasi-experimental designs</w:t>
      </w:r>
    </w:p>
    <w:p>
      <w:pPr>
        <w:spacing w:after="120"/>
      </w:pPr>
      <w:r>
        <w:rPr>
          <w:rFonts w:ascii="Calibri" w:hAnsi="Calibri"/>
          <w:b/>
          <w:i w:val="0"/>
          <w:color w:val="2F6DB5"/>
          <w:sz w:val="22"/>
        </w:rPr>
        <w:t xml:space="preserve">The point.  </w:t>
      </w:r>
      <w:r>
        <w:rPr>
          <w:rFonts w:ascii="Calibri" w:hAnsi="Calibri"/>
          <w:b w:val="0"/>
          <w:i w:val="0"/>
          <w:color w:val="222732"/>
          <w:sz w:val="22"/>
        </w:rPr>
        <w:t>When a known cutoff on a running variable decides treatment, units just above and below are comparable, so the jump at the cutoff is a local causal effect — if nothing else jumps and no one can manipulate their side.</w:t>
      </w:r>
    </w:p>
    <w:p>
      <w:pPr>
        <w:spacing w:after="120"/>
      </w:pPr>
      <w:r>
        <w:rPr>
          <w:rFonts w:ascii="Calibri" w:hAnsi="Calibri"/>
          <w:b/>
          <w:i w:val="0"/>
          <w:color w:val="222732"/>
          <w:sz w:val="22"/>
        </w:rPr>
        <w:t>Students must leave with:</w:t>
      </w:r>
    </w:p>
    <w:p>
      <w:pPr>
        <w:pStyle w:val="ListBullet"/>
        <w:spacing w:after="60"/>
      </w:pPr>
      <w:r>
        <w:rPr>
          <w:rFonts w:ascii="Calibri" w:hAnsi="Calibri"/>
          <w:b w:val="0"/>
          <w:i w:val="0"/>
          <w:color w:val="222732"/>
          <w:sz w:val="22"/>
        </w:rPr>
        <w:t>Sharp RD (deterministic step) vs. fuzzy RD (probability shift) identify different things; both estimate a LOCAL effect at the cutoff.</w:t>
      </w:r>
    </w:p>
    <w:p>
      <w:pPr>
        <w:pStyle w:val="ListBullet"/>
        <w:spacing w:after="60"/>
      </w:pPr>
      <w:r>
        <w:rPr>
          <w:rFonts w:ascii="Calibri" w:hAnsi="Calibri"/>
          <w:b w:val="0"/>
          <w:i w:val="0"/>
          <w:color w:val="222732"/>
          <w:sz w:val="22"/>
        </w:rPr>
        <w:t>The continuity assumption and the local-randomization intuition are what license the design.</w:t>
      </w:r>
    </w:p>
    <w:p>
      <w:pPr>
        <w:pStyle w:val="ListBullet"/>
        <w:spacing w:after="60"/>
      </w:pPr>
      <w:r>
        <w:rPr>
          <w:rFonts w:ascii="Calibri" w:hAnsi="Calibri"/>
          <w:b w:val="0"/>
          <w:i w:val="0"/>
          <w:color w:val="222732"/>
          <w:sz w:val="22"/>
        </w:rPr>
        <w:t>Validity checks earn the design: McCrary density (manipulation), placebo cutoffs, donut-hole, and a defensible bandwidth.</w:t>
      </w:r>
    </w:p>
    <w:p>
      <w:pPr>
        <w:spacing w:after="120"/>
      </w:pPr>
      <w:r>
        <w:rPr>
          <w:rFonts w:ascii="Calibri" w:hAnsi="Calibri"/>
          <w:b/>
          <w:i w:val="0"/>
          <w:color w:val="C0504D"/>
          <w:sz w:val="22"/>
        </w:rPr>
        <w:t>Where they stumble:</w:t>
      </w:r>
    </w:p>
    <w:p>
      <w:pPr>
        <w:pStyle w:val="ListBullet"/>
        <w:spacing w:after="60"/>
      </w:pPr>
      <w:r>
        <w:rPr>
          <w:rFonts w:ascii="Calibri" w:hAnsi="Calibri"/>
          <w:b w:val="0"/>
          <w:i w:val="0"/>
          <w:color w:val="222732"/>
          <w:sz w:val="22"/>
        </w:rPr>
        <w:t>RD's effect is read as global rather than LOCAL to the cutoff — keep saying 'at the cutoff'.</w:t>
      </w:r>
    </w:p>
    <w:p>
      <w:pPr>
        <w:pStyle w:val="ListBullet"/>
        <w:spacing w:after="60"/>
      </w:pPr>
      <w:r>
        <w:rPr>
          <w:rFonts w:ascii="Calibri" w:hAnsi="Calibri"/>
          <w:b w:val="0"/>
          <w:i w:val="0"/>
          <w:color w:val="222732"/>
          <w:sz w:val="22"/>
        </w:rPr>
        <w:t>Bandwidth choice is treated as arbitrary; frame it as an explicit bias-variance tradeoff and require a sweep.</w:t>
      </w:r>
    </w:p>
    <w:p>
      <w:pPr>
        <w:pStyle w:val="ListBullet"/>
        <w:spacing w:after="60"/>
      </w:pPr>
      <w:r>
        <w:rPr>
          <w:rFonts w:ascii="Calibri" w:hAnsi="Calibri"/>
          <w:b w:val="0"/>
          <w:i w:val="0"/>
          <w:color w:val="222732"/>
          <w:sz w:val="22"/>
        </w:rPr>
        <w:t>Students forget the manipulation check — without the density test the design is just an assertion.</w:t>
      </w:r>
    </w:p>
    <w:p>
      <w:pPr>
        <w:spacing w:after="120"/>
      </w:pPr>
      <w:r>
        <w:rPr>
          <w:rFonts w:ascii="Calibri" w:hAnsi="Calibri"/>
          <w:b/>
          <w:i w:val="0"/>
          <w:color w:val="222732"/>
          <w:sz w:val="22"/>
        </w:rPr>
        <w:t>Discussion prompts:</w:t>
      </w:r>
    </w:p>
    <w:p>
      <w:pPr>
        <w:pStyle w:val="ListBullet"/>
        <w:spacing w:after="60"/>
      </w:pPr>
      <w:r>
        <w:rPr>
          <w:rFonts w:ascii="Calibri" w:hAnsi="Calibri"/>
          <w:b/>
          <w:i w:val="0"/>
          <w:color w:val="222732"/>
          <w:sz w:val="22"/>
        </w:rPr>
        <w:t xml:space="preserve">1. </w:t>
      </w:r>
      <w:r>
        <w:rPr>
          <w:rFonts w:ascii="Calibri" w:hAnsi="Calibri"/>
          <w:b w:val="0"/>
          <w:i w:val="0"/>
          <w:color w:val="222732"/>
          <w:sz w:val="22"/>
        </w:rPr>
        <w:t>A scholarship is awarded at a test-score cutoff. What would make you suspect manipulation, and how would you detect it?</w:t>
      </w:r>
    </w:p>
    <w:p>
      <w:pPr>
        <w:pStyle w:val="ListBullet"/>
        <w:spacing w:after="60"/>
      </w:pPr>
      <w:r>
        <w:rPr>
          <w:rFonts w:ascii="Calibri" w:hAnsi="Calibri"/>
          <w:b/>
          <w:i w:val="0"/>
          <w:color w:val="222732"/>
          <w:sz w:val="22"/>
        </w:rPr>
        <w:t xml:space="preserve">2. </w:t>
      </w:r>
      <w:r>
        <w:rPr>
          <w:rFonts w:ascii="Calibri" w:hAnsi="Calibri"/>
          <w:b w:val="0"/>
          <w:i w:val="0"/>
          <w:color w:val="222732"/>
          <w:sz w:val="22"/>
        </w:rPr>
        <w:t>Your estimate halves when you widen the bandwidth. Which number do you report, and why?</w:t>
      </w:r>
    </w:p>
    <w:p>
      <w:pPr>
        <w:pStyle w:val="ListBullet"/>
        <w:spacing w:after="60"/>
      </w:pPr>
      <w:r>
        <w:rPr>
          <w:rFonts w:ascii="Calibri" w:hAnsi="Calibri"/>
          <w:b/>
          <w:i w:val="0"/>
          <w:color w:val="222732"/>
          <w:sz w:val="22"/>
        </w:rPr>
        <w:t xml:space="preserve">3. </w:t>
      </w:r>
      <w:r>
        <w:rPr>
          <w:rFonts w:ascii="Calibri" w:hAnsi="Calibri"/>
          <w:b w:val="0"/>
          <w:i w:val="0"/>
          <w:color w:val="222732"/>
          <w:sz w:val="22"/>
        </w:rPr>
        <w:t>To whom does an RD estimate generalize — and to whom does it NOT?</w:t>
      </w:r>
    </w:p>
    <w:p>
      <w:pPr>
        <w:spacing w:after="120"/>
      </w:pPr>
      <w:r>
        <w:rPr>
          <w:rFonts w:ascii="Calibri" w:hAnsi="Calibri"/>
          <w:b/>
          <w:i w:val="0"/>
          <w:color w:val="222732"/>
          <w:sz w:val="22"/>
        </w:rPr>
        <w:t>Slow down on:</w:t>
      </w:r>
    </w:p>
    <w:p>
      <w:pPr>
        <w:pStyle w:val="ListBullet"/>
        <w:spacing w:after="60"/>
      </w:pPr>
      <w:r>
        <w:rPr>
          <w:rFonts w:ascii="Calibri" w:hAnsi="Calibri"/>
          <w:b w:val="0"/>
          <w:i w:val="0"/>
          <w:color w:val="222732"/>
          <w:sz w:val="22"/>
        </w:rPr>
        <w:t>The local-randomization intuition: why being just above vs. just below is almost a coin flip.</w:t>
      </w:r>
    </w:p>
    <w:p>
      <w:pPr>
        <w:pStyle w:val="ListBullet"/>
        <w:spacing w:after="60"/>
      </w:pPr>
      <w:r>
        <w:rPr>
          <w:rFonts w:ascii="Calibri" w:hAnsi="Calibri"/>
          <w:b w:val="0"/>
          <w:i w:val="0"/>
          <w:color w:val="222732"/>
          <w:sz w:val="22"/>
        </w:rPr>
        <w:t>The fuzzy-RD Wald ratio (reduced form over first stage) — connect it back to Week 8 IV.</w:t>
      </w:r>
    </w:p>
    <w:p>
      <w:pPr>
        <w:spacing w:before="160" w:after="0"/>
        <w:shd w:val="clear" w:color="auto" w:fill="ECEEF2"/>
        <w:pBdr>
          <w:left w:val="single" w:sz="24" w:space="8" w:color="E9A23B"/>
        </w:pBdr>
      </w:pPr>
      <w:r>
        <w:rPr>
          <w:rFonts w:ascii="Calibri" w:hAnsi="Calibri"/>
          <w:b/>
          <w:i w:val="0"/>
          <w:color w:val="E9A23B"/>
          <w:sz w:val="22"/>
        </w:rPr>
        <w:t>Deliverable &amp; grading effort</w:t>
      </w:r>
    </w:p>
    <w:p>
      <w:pPr>
        <w:spacing w:before="0" w:after="40"/>
        <w:shd w:val="clear" w:color="auto" w:fill="ECEEF2"/>
        <w:pBdr>
          <w:left w:val="single" w:sz="24" w:space="8" w:color="E9A23B"/>
        </w:pBdr>
      </w:pPr>
      <w:r>
        <w:rPr>
          <w:rFonts w:ascii="Calibri" w:hAnsi="Calibri"/>
          <w:b w:val="0"/>
          <w:i w:val="0"/>
          <w:color w:val="222732"/>
          <w:sz w:val="21"/>
        </w:rPr>
        <w:t>Deliverable: Concept Set 9; Lab 6: Regression discontinuity.</w:t>
      </w:r>
    </w:p>
    <w:p>
      <w:pPr>
        <w:spacing w:before="0" w:after="40"/>
        <w:shd w:val="clear" w:color="auto" w:fill="ECEEF2"/>
        <w:pBdr>
          <w:left w:val="single" w:sz="24" w:space="8" w:color="E9A23B"/>
        </w:pBdr>
      </w:pPr>
      <w:r>
        <w:rPr>
          <w:rFonts w:ascii="Calibri" w:hAnsi="Calibri"/>
          <w:b w:val="0"/>
          <w:i w:val="0"/>
          <w:color w:val="222732"/>
          <w:sz w:val="21"/>
        </w:rPr>
        <w:t>Grading: Moderate. No problem set is graded separately this week beyond the concept set; Lab 6 is the deliverable (sharp RD + full validity suite, then fuzzy). ~12 min/student; check that the validity battery is actually run, not just the point estimate.</w:t>
      </w:r>
    </w:p>
    <w:p>
      <w:pPr>
        <w:spacing w:before="0" w:after="0"/>
      </w:pPr>
    </w:p>
    <w:p>
      <w:pPr>
        <w:spacing w:after="120"/>
      </w:pPr>
      <w:r>
        <w:rPr>
          <w:rFonts w:ascii="Calibri" w:hAnsi="Calibri"/>
          <w:b/>
          <w:i w:val="0"/>
          <w:color w:val="4E8C57"/>
          <w:sz w:val="22"/>
        </w:rPr>
        <w:t xml:space="preserve">If short on time:  </w:t>
      </w:r>
      <w:r>
        <w:rPr>
          <w:rFonts w:ascii="Calibri" w:hAnsi="Calibri"/>
          <w:b w:val="0"/>
          <w:i w:val="0"/>
          <w:color w:val="222732"/>
          <w:sz w:val="22"/>
        </w:rPr>
        <w:t>KEEP sharp RD + the validity battery (it is the whole credibility argument). CUT the fuzzy-RD extension to optional if behind.</w:t>
      </w:r>
    </w:p>
    <w:p>
      <w:pPr>
        <w:spacing w:before="200" w:after="40"/>
      </w:pPr>
      <w:r>
        <w:rPr>
          <w:rFonts w:ascii="Calibri" w:hAnsi="Calibri"/>
          <w:b/>
          <w:i w:val="0"/>
          <w:color w:val="2F6DB5"/>
          <w:sz w:val="26"/>
        </w:rPr>
        <w:t>Week 10 — Difference-in-Differences &amp; Panel Methods</w:t>
      </w:r>
    </w:p>
    <w:p>
      <w:pPr>
        <w:spacing w:after="120"/>
      </w:pPr>
      <w:r>
        <w:rPr>
          <w:rFonts w:ascii="Calibri" w:hAnsi="Calibri"/>
          <w:b w:val="0"/>
          <w:i/>
          <w:color w:val="7F8694"/>
          <w:sz w:val="22"/>
        </w:rPr>
        <w:t>Block III — Quasi-experimental designs</w:t>
      </w:r>
    </w:p>
    <w:p>
      <w:pPr>
        <w:spacing w:after="120"/>
      </w:pPr>
      <w:r>
        <w:rPr>
          <w:rFonts w:ascii="Calibri" w:hAnsi="Calibri"/>
          <w:b/>
          <w:i w:val="0"/>
          <w:color w:val="2F6DB5"/>
          <w:sz w:val="22"/>
        </w:rPr>
        <w:t xml:space="preserve">The point.  </w:t>
      </w:r>
      <w:r>
        <w:rPr>
          <w:rFonts w:ascii="Calibri" w:hAnsi="Calibri"/>
          <w:b w:val="0"/>
          <w:i w:val="0"/>
          <w:color w:val="222732"/>
          <w:sz w:val="22"/>
        </w:rPr>
        <w:t>Difference-in-differences compares the treated group's before/after change to an untreated group's, so any common trend cancels — leaving the effect under a parallel-trends assumption.</w:t>
      </w:r>
    </w:p>
    <w:p>
      <w:pPr>
        <w:spacing w:after="120"/>
      </w:pPr>
      <w:r>
        <w:rPr>
          <w:rFonts w:ascii="Calibri" w:hAnsi="Calibri"/>
          <w:b/>
          <w:i w:val="0"/>
          <w:color w:val="222732"/>
          <w:sz w:val="22"/>
        </w:rPr>
        <w:t>Students must leave with:</w:t>
      </w:r>
    </w:p>
    <w:p>
      <w:pPr>
        <w:pStyle w:val="ListBullet"/>
        <w:spacing w:after="60"/>
      </w:pPr>
      <w:r>
        <w:rPr>
          <w:rFonts w:ascii="Calibri" w:hAnsi="Calibri"/>
          <w:b w:val="0"/>
          <w:i w:val="0"/>
          <w:color w:val="222732"/>
          <w:sz w:val="22"/>
        </w:rPr>
        <w:t>The second difference removes both fixed group gaps and the common time trend; that cancellation IS the method.</w:t>
      </w:r>
    </w:p>
    <w:p>
      <w:pPr>
        <w:pStyle w:val="ListBullet"/>
        <w:spacing w:after="60"/>
      </w:pPr>
      <w:r>
        <w:rPr>
          <w:rFonts w:ascii="Calibri" w:hAnsi="Calibri"/>
          <w:b w:val="0"/>
          <w:i w:val="0"/>
          <w:color w:val="222732"/>
          <w:sz w:val="22"/>
        </w:rPr>
        <w:t>Parallel trends is the whole identifying assumption; a pre-trend test is suggestive evidence, not proof.</w:t>
      </w:r>
    </w:p>
    <w:p>
      <w:pPr>
        <w:pStyle w:val="ListBullet"/>
        <w:spacing w:after="60"/>
      </w:pPr>
      <w:r>
        <w:rPr>
          <w:rFonts w:ascii="Calibri" w:hAnsi="Calibri"/>
          <w:b w:val="0"/>
          <w:i w:val="0"/>
          <w:color w:val="222732"/>
          <w:sz w:val="22"/>
        </w:rPr>
        <w:t>Two-way fixed effects with staggered adoption and heterogeneous effects can be biased ('forbidden comparisons', negative weights).</w:t>
      </w:r>
    </w:p>
    <w:p>
      <w:pPr>
        <w:spacing w:after="120"/>
      </w:pPr>
      <w:r>
        <w:rPr>
          <w:rFonts w:ascii="Calibri" w:hAnsi="Calibri"/>
          <w:b/>
          <w:i w:val="0"/>
          <w:color w:val="C0504D"/>
          <w:sz w:val="22"/>
        </w:rPr>
        <w:t>Where they stumble:</w:t>
      </w:r>
    </w:p>
    <w:p>
      <w:pPr>
        <w:pStyle w:val="ListBullet"/>
        <w:spacing w:after="60"/>
      </w:pPr>
      <w:r>
        <w:rPr>
          <w:rFonts w:ascii="Calibri" w:hAnsi="Calibri"/>
          <w:b w:val="0"/>
          <w:i w:val="0"/>
          <w:color w:val="222732"/>
          <w:sz w:val="22"/>
        </w:rPr>
        <w:t>A passing pre-trend test is taken as proof of parallel trends — it concerns the unobservable counterfactual trend and cannot be verified.</w:t>
      </w:r>
    </w:p>
    <w:p>
      <w:pPr>
        <w:pStyle w:val="ListBullet"/>
        <w:spacing w:after="60"/>
      </w:pPr>
      <w:r>
        <w:rPr>
          <w:rFonts w:ascii="Calibri" w:hAnsi="Calibri"/>
          <w:b w:val="0"/>
          <w:i w:val="0"/>
          <w:color w:val="222732"/>
          <w:sz w:val="22"/>
        </w:rPr>
        <w:t>Students assume TWFE 'just works' for staggered timing; the negative-weights result genuinely surprises them.</w:t>
      </w:r>
    </w:p>
    <w:p>
      <w:pPr>
        <w:pStyle w:val="ListBullet"/>
        <w:spacing w:after="60"/>
      </w:pPr>
      <w:r>
        <w:rPr>
          <w:rFonts w:ascii="Calibri" w:hAnsi="Calibri"/>
          <w:b w:val="0"/>
          <w:i w:val="0"/>
          <w:color w:val="222732"/>
          <w:sz w:val="22"/>
        </w:rPr>
        <w:t>Clustering is skipped; explain why standard errors must cluster at the unit.</w:t>
      </w:r>
    </w:p>
    <w:p>
      <w:pPr>
        <w:spacing w:after="120"/>
      </w:pPr>
      <w:r>
        <w:rPr>
          <w:rFonts w:ascii="Calibri" w:hAnsi="Calibri"/>
          <w:b/>
          <w:i w:val="0"/>
          <w:color w:val="222732"/>
          <w:sz w:val="22"/>
        </w:rPr>
        <w:t>Discussion prompts:</w:t>
      </w:r>
    </w:p>
    <w:p>
      <w:pPr>
        <w:pStyle w:val="ListBullet"/>
        <w:spacing w:after="60"/>
      </w:pPr>
      <w:r>
        <w:rPr>
          <w:rFonts w:ascii="Calibri" w:hAnsi="Calibri"/>
          <w:b/>
          <w:i w:val="0"/>
          <w:color w:val="222732"/>
          <w:sz w:val="22"/>
        </w:rPr>
        <w:t xml:space="preserve">1. </w:t>
      </w:r>
      <w:r>
        <w:rPr>
          <w:rFonts w:ascii="Calibri" w:hAnsi="Calibri"/>
          <w:b w:val="0"/>
          <w:i w:val="0"/>
          <w:color w:val="222732"/>
          <w:sz w:val="22"/>
        </w:rPr>
        <w:t>Your pre-trends are flat. Name something that could still break parallel trends in the post-period.</w:t>
      </w:r>
    </w:p>
    <w:p>
      <w:pPr>
        <w:pStyle w:val="ListBullet"/>
        <w:spacing w:after="60"/>
      </w:pPr>
      <w:r>
        <w:rPr>
          <w:rFonts w:ascii="Calibri" w:hAnsi="Calibri"/>
          <w:b/>
          <w:i w:val="0"/>
          <w:color w:val="222732"/>
          <w:sz w:val="22"/>
        </w:rPr>
        <w:t xml:space="preserve">2. </w:t>
      </w:r>
      <w:r>
        <w:rPr>
          <w:rFonts w:ascii="Calibri" w:hAnsi="Calibri"/>
          <w:b w:val="0"/>
          <w:i w:val="0"/>
          <w:color w:val="222732"/>
          <w:sz w:val="22"/>
        </w:rPr>
        <w:t>Why can adding more treated cohorts at different times make a TWFE estimate WORSE, not better?</w:t>
      </w:r>
    </w:p>
    <w:p>
      <w:pPr>
        <w:pStyle w:val="ListBullet"/>
        <w:spacing w:after="60"/>
      </w:pPr>
      <w:r>
        <w:rPr>
          <w:rFonts w:ascii="Calibri" w:hAnsi="Calibri"/>
          <w:b/>
          <w:i w:val="0"/>
          <w:color w:val="222732"/>
          <w:sz w:val="22"/>
        </w:rPr>
        <w:t xml:space="preserve">3. </w:t>
      </w:r>
      <w:r>
        <w:rPr>
          <w:rFonts w:ascii="Calibri" w:hAnsi="Calibri"/>
          <w:b w:val="0"/>
          <w:i w:val="0"/>
          <w:color w:val="222732"/>
          <w:sz w:val="22"/>
        </w:rPr>
        <w:t>Read this event-study plot aloud: what do the leads tell you and what do the lags tell you?</w:t>
      </w:r>
    </w:p>
    <w:p>
      <w:pPr>
        <w:spacing w:after="120"/>
      </w:pPr>
      <w:r>
        <w:rPr>
          <w:rFonts w:ascii="Calibri" w:hAnsi="Calibri"/>
          <w:b/>
          <w:i w:val="0"/>
          <w:color w:val="222732"/>
          <w:sz w:val="22"/>
        </w:rPr>
        <w:t>Slow down on:</w:t>
      </w:r>
    </w:p>
    <w:p>
      <w:pPr>
        <w:pStyle w:val="ListBullet"/>
        <w:spacing w:after="60"/>
      </w:pPr>
      <w:r>
        <w:rPr>
          <w:rFonts w:ascii="Calibri" w:hAnsi="Calibri"/>
          <w:b w:val="0"/>
          <w:i w:val="0"/>
          <w:color w:val="222732"/>
          <w:sz w:val="22"/>
        </w:rPr>
        <w:t>The 2x2 table by hand before any regression — make the double difference concrete.</w:t>
      </w:r>
    </w:p>
    <w:p>
      <w:pPr>
        <w:pStyle w:val="ListBullet"/>
        <w:spacing w:after="60"/>
      </w:pPr>
      <w:r>
        <w:rPr>
          <w:rFonts w:ascii="Calibri" w:hAnsi="Calibri"/>
          <w:b w:val="0"/>
          <w:i w:val="0"/>
          <w:color w:val="222732"/>
          <w:sz w:val="22"/>
        </w:rPr>
        <w:t>Why TWFE breaks under staggered adoption: the forbidden already-treated-as-control comparison.</w:t>
      </w:r>
    </w:p>
    <w:p>
      <w:pPr>
        <w:spacing w:before="160" w:after="0"/>
        <w:shd w:val="clear" w:color="auto" w:fill="ECEEF2"/>
        <w:pBdr>
          <w:left w:val="single" w:sz="24" w:space="8" w:color="E9A23B"/>
        </w:pBdr>
      </w:pPr>
      <w:r>
        <w:rPr>
          <w:rFonts w:ascii="Calibri" w:hAnsi="Calibri"/>
          <w:b/>
          <w:i w:val="0"/>
          <w:color w:val="E9A23B"/>
          <w:sz w:val="22"/>
        </w:rPr>
        <w:t>Deliverable &amp; grading effort</w:t>
      </w:r>
    </w:p>
    <w:p>
      <w:pPr>
        <w:spacing w:before="0" w:after="40"/>
        <w:shd w:val="clear" w:color="auto" w:fill="ECEEF2"/>
        <w:pBdr>
          <w:left w:val="single" w:sz="24" w:space="8" w:color="E9A23B"/>
        </w:pBdr>
      </w:pPr>
      <w:r>
        <w:rPr>
          <w:rFonts w:ascii="Calibri" w:hAnsi="Calibri"/>
          <w:b w:val="0"/>
          <w:i w:val="0"/>
          <w:color w:val="222732"/>
          <w:sz w:val="21"/>
        </w:rPr>
        <w:t>Deliverable: Problem Set 6; Lab 7: Difference-in-differences.</w:t>
      </w:r>
    </w:p>
    <w:p>
      <w:pPr>
        <w:spacing w:before="0" w:after="40"/>
        <w:shd w:val="clear" w:color="auto" w:fill="ECEEF2"/>
        <w:pBdr>
          <w:left w:val="single" w:sz="24" w:space="8" w:color="E9A23B"/>
        </w:pBdr>
      </w:pPr>
      <w:r>
        <w:rPr>
          <w:rFonts w:ascii="Calibri" w:hAnsi="Calibri"/>
          <w:b w:val="0"/>
          <w:i w:val="0"/>
          <w:color w:val="222732"/>
          <w:sz w:val="21"/>
        </w:rPr>
        <w:t>Grading: Moderate-to-heavy. PS6 plus Lab 7 (2x2, TWFE with clustering, event study, staggered-bias demo, group-time fix) is a substantial build — ~15 min/student. A staged rubric helps.</w:t>
      </w:r>
    </w:p>
    <w:p>
      <w:pPr>
        <w:spacing w:before="0" w:after="0"/>
      </w:pPr>
    </w:p>
    <w:p>
      <w:pPr>
        <w:spacing w:after="120"/>
      </w:pPr>
      <w:r>
        <w:rPr>
          <w:rFonts w:ascii="Calibri" w:hAnsi="Calibri"/>
          <w:b/>
          <w:i w:val="0"/>
          <w:color w:val="4E8C57"/>
          <w:sz w:val="22"/>
        </w:rPr>
        <w:t xml:space="preserve">If short on time:  </w:t>
      </w:r>
      <w:r>
        <w:rPr>
          <w:rFonts w:ascii="Calibri" w:hAnsi="Calibri"/>
          <w:b w:val="0"/>
          <w:i w:val="0"/>
          <w:color w:val="222732"/>
          <w:sz w:val="22"/>
        </w:rPr>
        <w:t>KEEP 2x2 + parallel trends + event study. CUT the modern group-time estimator (Callaway-Sant'Anna style) to a demo if time is short, but keep the negative-weights warning.</w:t>
      </w:r>
    </w:p>
    <w:p>
      <w:pPr>
        <w:spacing w:before="200" w:after="40"/>
      </w:pPr>
      <w:r>
        <w:rPr>
          <w:rFonts w:ascii="Calibri" w:hAnsi="Calibri"/>
          <w:b/>
          <w:i w:val="0"/>
          <w:color w:val="2F6DB5"/>
          <w:sz w:val="26"/>
        </w:rPr>
        <w:t>Week 11 — Synthetic Control</w:t>
      </w:r>
    </w:p>
    <w:p>
      <w:pPr>
        <w:spacing w:after="120"/>
      </w:pPr>
      <w:r>
        <w:rPr>
          <w:rFonts w:ascii="Calibri" w:hAnsi="Calibri"/>
          <w:b w:val="0"/>
          <w:i/>
          <w:color w:val="7F8694"/>
          <w:sz w:val="22"/>
        </w:rPr>
        <w:t>Block III — Quasi-experimental designs</w:t>
      </w:r>
    </w:p>
    <w:p>
      <w:pPr>
        <w:spacing w:after="120"/>
      </w:pPr>
      <w:r>
        <w:rPr>
          <w:rFonts w:ascii="Calibri" w:hAnsi="Calibri"/>
          <w:b/>
          <w:i w:val="0"/>
          <w:color w:val="2F6DB5"/>
          <w:sz w:val="22"/>
        </w:rPr>
        <w:t xml:space="preserve">The point.  </w:t>
      </w:r>
      <w:r>
        <w:rPr>
          <w:rFonts w:ascii="Calibri" w:hAnsi="Calibri"/>
          <w:b w:val="0"/>
          <w:i w:val="0"/>
          <w:color w:val="222732"/>
          <w:sz w:val="22"/>
        </w:rPr>
        <w:t>With one treated unit and a pool of untreated donors, synthetic control builds a weighted donor blend that tracks the treated unit pre-treatment and uses its continuation as the counterfactual.</w:t>
      </w:r>
    </w:p>
    <w:p>
      <w:pPr>
        <w:spacing w:after="120"/>
      </w:pPr>
      <w:r>
        <w:rPr>
          <w:rFonts w:ascii="Calibri" w:hAnsi="Calibri"/>
          <w:b/>
          <w:i w:val="0"/>
          <w:color w:val="222732"/>
          <w:sz w:val="22"/>
        </w:rPr>
        <w:t>Students must leave with:</w:t>
      </w:r>
    </w:p>
    <w:p>
      <w:pPr>
        <w:pStyle w:val="ListBullet"/>
        <w:spacing w:after="60"/>
      </w:pPr>
      <w:r>
        <w:rPr>
          <w:rFonts w:ascii="Calibri" w:hAnsi="Calibri"/>
          <w:b w:val="0"/>
          <w:i w:val="0"/>
          <w:color w:val="222732"/>
          <w:sz w:val="22"/>
        </w:rPr>
        <w:t>Donor weights are non-negative and sum to one (a convex combination) — no extrapolation outside the donors' hull.</w:t>
      </w:r>
    </w:p>
    <w:p>
      <w:pPr>
        <w:pStyle w:val="ListBullet"/>
        <w:spacing w:after="60"/>
      </w:pPr>
      <w:r>
        <w:rPr>
          <w:rFonts w:ascii="Calibri" w:hAnsi="Calibri"/>
          <w:b w:val="0"/>
          <w:i w:val="0"/>
          <w:color w:val="222732"/>
          <w:sz w:val="22"/>
        </w:rPr>
        <w:t>Pre-treatment fit is the whole argument: a good pre-period match is the precondition that makes the post-period gap interpretable.</w:t>
      </w:r>
    </w:p>
    <w:p>
      <w:pPr>
        <w:pStyle w:val="ListBullet"/>
        <w:spacing w:after="60"/>
      </w:pPr>
      <w:r>
        <w:rPr>
          <w:rFonts w:ascii="Calibri" w:hAnsi="Calibri"/>
          <w:b w:val="0"/>
          <w:i w:val="0"/>
          <w:color w:val="222732"/>
          <w:sz w:val="22"/>
        </w:rPr>
        <w:t>Placebo / permutation (in-space) inference puts the real unit's gap inside a distribution of donor-as-treated gaps.</w:t>
      </w:r>
    </w:p>
    <w:p>
      <w:pPr>
        <w:spacing w:after="120"/>
      </w:pPr>
      <w:r>
        <w:rPr>
          <w:rFonts w:ascii="Calibri" w:hAnsi="Calibri"/>
          <w:b/>
          <w:i w:val="0"/>
          <w:color w:val="C0504D"/>
          <w:sz w:val="22"/>
        </w:rPr>
        <w:t>Where they stumble:</w:t>
      </w:r>
    </w:p>
    <w:p>
      <w:pPr>
        <w:pStyle w:val="ListBullet"/>
        <w:spacing w:after="60"/>
      </w:pPr>
      <w:r>
        <w:rPr>
          <w:rFonts w:ascii="Calibri" w:hAnsi="Calibri"/>
          <w:b w:val="0"/>
          <w:i w:val="0"/>
          <w:color w:val="222732"/>
          <w:sz w:val="22"/>
        </w:rPr>
        <w:t>Students read a post-period gap as an effect even with poor pre-fit — no pre-fit, no claim.</w:t>
      </w:r>
    </w:p>
    <w:p>
      <w:pPr>
        <w:pStyle w:val="ListBullet"/>
        <w:spacing w:after="60"/>
      </w:pPr>
      <w:r>
        <w:rPr>
          <w:rFonts w:ascii="Calibri" w:hAnsi="Calibri"/>
          <w:b w:val="0"/>
          <w:i w:val="0"/>
          <w:color w:val="222732"/>
          <w:sz w:val="22"/>
        </w:rPr>
        <w:t>Negative or &gt;1 weights creep in from an unconstrained solver; emphasize the convexity constraint and why it matters.</w:t>
      </w:r>
    </w:p>
    <w:p>
      <w:pPr>
        <w:pStyle w:val="ListBullet"/>
        <w:spacing w:after="60"/>
      </w:pPr>
      <w:r>
        <w:rPr>
          <w:rFonts w:ascii="Calibri" w:hAnsi="Calibri"/>
          <w:b w:val="0"/>
          <w:i w:val="0"/>
          <w:color w:val="222732"/>
          <w:sz w:val="22"/>
        </w:rPr>
        <w:t>They expect classical p-values; the permutation logic of inference here is new and worth dwelling on.</w:t>
      </w:r>
    </w:p>
    <w:p>
      <w:pPr>
        <w:spacing w:after="120"/>
      </w:pPr>
      <w:r>
        <w:rPr>
          <w:rFonts w:ascii="Calibri" w:hAnsi="Calibri"/>
          <w:b/>
          <w:i w:val="0"/>
          <w:color w:val="222732"/>
          <w:sz w:val="22"/>
        </w:rPr>
        <w:t>Discussion prompts:</w:t>
      </w:r>
    </w:p>
    <w:p>
      <w:pPr>
        <w:pStyle w:val="ListBullet"/>
        <w:spacing w:after="60"/>
      </w:pPr>
      <w:r>
        <w:rPr>
          <w:rFonts w:ascii="Calibri" w:hAnsi="Calibri"/>
          <w:b/>
          <w:i w:val="0"/>
          <w:color w:val="222732"/>
          <w:sz w:val="22"/>
        </w:rPr>
        <w:t xml:space="preserve">1. </w:t>
      </w:r>
      <w:r>
        <w:rPr>
          <w:rFonts w:ascii="Calibri" w:hAnsi="Calibri"/>
          <w:b w:val="0"/>
          <w:i w:val="0"/>
          <w:color w:val="222732"/>
          <w:sz w:val="22"/>
        </w:rPr>
        <w:t>When is synthetic control clearly better than DiD, and when is it clearly worse?</w:t>
      </w:r>
    </w:p>
    <w:p>
      <w:pPr>
        <w:pStyle w:val="ListBullet"/>
        <w:spacing w:after="60"/>
      </w:pPr>
      <w:r>
        <w:rPr>
          <w:rFonts w:ascii="Calibri" w:hAnsi="Calibri"/>
          <w:b/>
          <w:i w:val="0"/>
          <w:color w:val="222732"/>
          <w:sz w:val="22"/>
        </w:rPr>
        <w:t xml:space="preserve">2. </w:t>
      </w:r>
      <w:r>
        <w:rPr>
          <w:rFonts w:ascii="Calibri" w:hAnsi="Calibri"/>
          <w:b w:val="0"/>
          <w:i w:val="0"/>
          <w:color w:val="222732"/>
          <w:sz w:val="22"/>
        </w:rPr>
        <w:t>Your treated unit sits outside the donors' convex hull. What does that do to the method, and what should you do about it?</w:t>
      </w:r>
    </w:p>
    <w:p>
      <w:pPr>
        <w:pStyle w:val="ListBullet"/>
        <w:spacing w:after="60"/>
      </w:pPr>
      <w:r>
        <w:rPr>
          <w:rFonts w:ascii="Calibri" w:hAnsi="Calibri"/>
          <w:b/>
          <w:i w:val="0"/>
          <w:color w:val="222732"/>
          <w:sz w:val="22"/>
        </w:rPr>
        <w:t xml:space="preserve">3. </w:t>
      </w:r>
      <w:r>
        <w:rPr>
          <w:rFonts w:ascii="Calibri" w:hAnsi="Calibri"/>
          <w:b w:val="0"/>
          <w:i w:val="0"/>
          <w:color w:val="222732"/>
          <w:sz w:val="22"/>
        </w:rPr>
        <w:t>How does in-space placebo inference substitute for a large sample?</w:t>
      </w:r>
    </w:p>
    <w:p>
      <w:pPr>
        <w:spacing w:after="120"/>
      </w:pPr>
      <w:r>
        <w:rPr>
          <w:rFonts w:ascii="Calibri" w:hAnsi="Calibri"/>
          <w:b/>
          <w:i w:val="0"/>
          <w:color w:val="222732"/>
          <w:sz w:val="22"/>
        </w:rPr>
        <w:t>Slow down on:</w:t>
      </w:r>
    </w:p>
    <w:p>
      <w:pPr>
        <w:pStyle w:val="ListBullet"/>
        <w:spacing w:after="60"/>
      </w:pPr>
      <w:r>
        <w:rPr>
          <w:rFonts w:ascii="Calibri" w:hAnsi="Calibri"/>
          <w:b w:val="0"/>
          <w:i w:val="0"/>
          <w:color w:val="222732"/>
          <w:sz w:val="22"/>
        </w:rPr>
        <w:t>The constrained-weights optimization (non-negative, sum-to-one) and WHY those constraints exist.</w:t>
      </w:r>
    </w:p>
    <w:p>
      <w:pPr>
        <w:pStyle w:val="ListBullet"/>
        <w:spacing w:after="60"/>
      </w:pPr>
      <w:r>
        <w:rPr>
          <w:rFonts w:ascii="Calibri" w:hAnsi="Calibri"/>
          <w:b w:val="0"/>
          <w:i w:val="0"/>
          <w:color w:val="222732"/>
          <w:sz w:val="22"/>
        </w:rPr>
        <w:t>Reading a placebo / permutation plot to get a p-value.</w:t>
      </w:r>
    </w:p>
    <w:p>
      <w:pPr>
        <w:spacing w:before="160" w:after="0"/>
        <w:shd w:val="clear" w:color="auto" w:fill="ECEEF2"/>
        <w:pBdr>
          <w:left w:val="single" w:sz="24" w:space="8" w:color="E9A23B"/>
        </w:pBdr>
      </w:pPr>
      <w:r>
        <w:rPr>
          <w:rFonts w:ascii="Calibri" w:hAnsi="Calibri"/>
          <w:b/>
          <w:i w:val="0"/>
          <w:color w:val="E9A23B"/>
          <w:sz w:val="22"/>
        </w:rPr>
        <w:t>Deliverable &amp; grading effort</w:t>
      </w:r>
    </w:p>
    <w:p>
      <w:pPr>
        <w:spacing w:before="0" w:after="40"/>
        <w:shd w:val="clear" w:color="auto" w:fill="ECEEF2"/>
        <w:pBdr>
          <w:left w:val="single" w:sz="24" w:space="8" w:color="E9A23B"/>
        </w:pBdr>
      </w:pPr>
      <w:r>
        <w:rPr>
          <w:rFonts w:ascii="Calibri" w:hAnsi="Calibri"/>
          <w:b w:val="0"/>
          <w:i w:val="0"/>
          <w:color w:val="222732"/>
          <w:sz w:val="21"/>
        </w:rPr>
        <w:t>Deliverable: Concept Set 11; Lab 8: Synthetic control.</w:t>
      </w:r>
    </w:p>
    <w:p>
      <w:pPr>
        <w:spacing w:before="0" w:after="40"/>
        <w:shd w:val="clear" w:color="auto" w:fill="ECEEF2"/>
        <w:pBdr>
          <w:left w:val="single" w:sz="24" w:space="8" w:color="E9A23B"/>
        </w:pBdr>
      </w:pPr>
      <w:r>
        <w:rPr>
          <w:rFonts w:ascii="Calibri" w:hAnsi="Calibri"/>
          <w:b w:val="0"/>
          <w:i w:val="0"/>
          <w:color w:val="222732"/>
          <w:sz w:val="21"/>
        </w:rPr>
        <w:t>Grading: Moderate. Concept Set 11 is short-answer; Lab 8 (code SC from scratch + in-space placebo) is the deliverable, ~12 min/student. The permutation p-value is the thing to verify.</w:t>
      </w:r>
    </w:p>
    <w:p>
      <w:pPr>
        <w:spacing w:before="0" w:after="0"/>
      </w:pPr>
    </w:p>
    <w:p>
      <w:pPr>
        <w:spacing w:after="120"/>
      </w:pPr>
      <w:r>
        <w:rPr>
          <w:rFonts w:ascii="Calibri" w:hAnsi="Calibri"/>
          <w:b/>
          <w:i w:val="0"/>
          <w:color w:val="4E8C57"/>
          <w:sz w:val="22"/>
        </w:rPr>
        <w:t xml:space="preserve">If short on time:  </w:t>
      </w:r>
      <w:r>
        <w:rPr>
          <w:rFonts w:ascii="Calibri" w:hAnsi="Calibri"/>
          <w:b w:val="0"/>
          <w:i w:val="0"/>
          <w:color w:val="222732"/>
          <w:sz w:val="22"/>
        </w:rPr>
        <w:t>KEEP convex weights + pre-fit + placebo inference. CUT a deep dive into the matrix-completion / generalized-SC variants unless the cohort is strong.</w:t>
      </w:r>
    </w:p>
    <w:p>
      <w:pPr>
        <w:spacing w:before="200" w:after="40"/>
      </w:pPr>
      <w:r>
        <w:rPr>
          <w:rFonts w:ascii="Calibri" w:hAnsi="Calibri"/>
          <w:b/>
          <w:i w:val="0"/>
          <w:color w:val="2F6DB5"/>
          <w:sz w:val="26"/>
        </w:rPr>
        <w:t>Week 12 — Double / Debiased Machine Learning</w:t>
      </w:r>
    </w:p>
    <w:p>
      <w:pPr>
        <w:spacing w:after="120"/>
      </w:pPr>
      <w:r>
        <w:rPr>
          <w:rFonts w:ascii="Calibri" w:hAnsi="Calibri"/>
          <w:b w:val="0"/>
          <w:i/>
          <w:color w:val="7F8694"/>
          <w:sz w:val="22"/>
        </w:rPr>
        <w:t>Block IV — Modern methods &amp; application</w:t>
      </w:r>
    </w:p>
    <w:p>
      <w:pPr>
        <w:spacing w:after="120"/>
      </w:pPr>
      <w:r>
        <w:rPr>
          <w:rFonts w:ascii="Calibri" w:hAnsi="Calibri"/>
          <w:b/>
          <w:i w:val="0"/>
          <w:color w:val="2F6DB5"/>
          <w:sz w:val="22"/>
        </w:rPr>
        <w:t xml:space="preserve">The point.  </w:t>
      </w:r>
      <w:r>
        <w:rPr>
          <w:rFonts w:ascii="Calibri" w:hAnsi="Calibri"/>
          <w:b w:val="0"/>
          <w:i w:val="0"/>
          <w:color w:val="222732"/>
          <w:sz w:val="22"/>
        </w:rPr>
        <w:t>Double/debiased ML lets you use flexible learners for the nuisance functions while still getting a valid, root-n confidence interval for the treatment effect — by combining Neyman-orthogonal scores with cross-fitting.</w:t>
      </w:r>
    </w:p>
    <w:p>
      <w:pPr>
        <w:spacing w:after="120"/>
      </w:pPr>
      <w:r>
        <w:rPr>
          <w:rFonts w:ascii="Calibri" w:hAnsi="Calibri"/>
          <w:b/>
          <w:i w:val="0"/>
          <w:color w:val="222732"/>
          <w:sz w:val="22"/>
        </w:rPr>
        <w:t>Students must leave with:</w:t>
      </w:r>
    </w:p>
    <w:p>
      <w:pPr>
        <w:pStyle w:val="ListBullet"/>
        <w:spacing w:after="60"/>
      </w:pPr>
      <w:r>
        <w:rPr>
          <w:rFonts w:ascii="Calibri" w:hAnsi="Calibri"/>
          <w:b w:val="0"/>
          <w:i w:val="0"/>
          <w:color w:val="222732"/>
          <w:sz w:val="22"/>
        </w:rPr>
        <w:t>Neyman orthogonality: build a score whose error is first-order insensitive to small nuisance-estimation mistakes, so ML bias does not contaminate the effect.</w:t>
      </w:r>
    </w:p>
    <w:p>
      <w:pPr>
        <w:pStyle w:val="ListBullet"/>
        <w:spacing w:after="60"/>
      </w:pPr>
      <w:r>
        <w:rPr>
          <w:rFonts w:ascii="Calibri" w:hAnsi="Calibri"/>
          <w:b w:val="0"/>
          <w:i w:val="0"/>
          <w:color w:val="222732"/>
          <w:sz w:val="22"/>
        </w:rPr>
        <w:t>Cross-fitting (sample splitting) removes the overfitting bias of using the same data to fit nuisances and the effect.</w:t>
      </w:r>
    </w:p>
    <w:p>
      <w:pPr>
        <w:pStyle w:val="ListBullet"/>
        <w:spacing w:after="60"/>
      </w:pPr>
      <w:r>
        <w:rPr>
          <w:rFonts w:ascii="Calibri" w:hAnsi="Calibri"/>
          <w:b w:val="0"/>
          <w:i w:val="0"/>
          <w:color w:val="222732"/>
          <w:sz w:val="22"/>
        </w:rPr>
        <w:t>In the partially linear model, DML estimates the ATE by partialling out X from both treatment and outcome with ML, then regressing the residuals.</w:t>
      </w:r>
    </w:p>
    <w:p>
      <w:pPr>
        <w:spacing w:after="120"/>
      </w:pPr>
      <w:r>
        <w:rPr>
          <w:rFonts w:ascii="Calibri" w:hAnsi="Calibri"/>
          <w:b/>
          <w:i w:val="0"/>
          <w:color w:val="C0504D"/>
          <w:sz w:val="22"/>
        </w:rPr>
        <w:t>Where they stumble:</w:t>
      </w:r>
    </w:p>
    <w:p>
      <w:pPr>
        <w:pStyle w:val="ListBullet"/>
        <w:spacing w:after="60"/>
      </w:pPr>
      <w:r>
        <w:rPr>
          <w:rFonts w:ascii="Calibri" w:hAnsi="Calibri"/>
          <w:b w:val="0"/>
          <w:i w:val="0"/>
          <w:color w:val="222732"/>
          <w:sz w:val="22"/>
        </w:rPr>
        <w:t>Students think 'use a fancier model' is the whole idea — the orthogonal moment and cross-fitting are what make it valid, not the ML.</w:t>
      </w:r>
    </w:p>
    <w:p>
      <w:pPr>
        <w:pStyle w:val="ListBullet"/>
        <w:spacing w:after="60"/>
      </w:pPr>
      <w:r>
        <w:rPr>
          <w:rFonts w:ascii="Calibri" w:hAnsi="Calibri"/>
          <w:b w:val="0"/>
          <w:i w:val="0"/>
          <w:color w:val="222732"/>
          <w:sz w:val="22"/>
        </w:rPr>
        <w:t>Plugging ML predictions into a naive estimator (no orthogonalization, no cross-fit) and trusting the SE — show why that interval is wrong.</w:t>
      </w:r>
    </w:p>
    <w:p>
      <w:pPr>
        <w:pStyle w:val="ListBullet"/>
        <w:spacing w:after="60"/>
      </w:pPr>
      <w:r>
        <w:rPr>
          <w:rFonts w:ascii="Calibri" w:hAnsi="Calibri"/>
          <w:b w:val="0"/>
          <w:i w:val="0"/>
          <w:color w:val="222732"/>
          <w:sz w:val="22"/>
        </w:rPr>
        <w:t>Regularization bias is invisible until you contrast naive plug-in with the orthogonalized residual-on-residual fit.</w:t>
      </w:r>
    </w:p>
    <w:p>
      <w:pPr>
        <w:spacing w:after="120"/>
      </w:pPr>
      <w:r>
        <w:rPr>
          <w:rFonts w:ascii="Calibri" w:hAnsi="Calibri"/>
          <w:b/>
          <w:i w:val="0"/>
          <w:color w:val="222732"/>
          <w:sz w:val="22"/>
        </w:rPr>
        <w:t>Discussion prompts:</w:t>
      </w:r>
    </w:p>
    <w:p>
      <w:pPr>
        <w:pStyle w:val="ListBullet"/>
        <w:spacing w:after="60"/>
      </w:pPr>
      <w:r>
        <w:rPr>
          <w:rFonts w:ascii="Calibri" w:hAnsi="Calibri"/>
          <w:b/>
          <w:i w:val="0"/>
          <w:color w:val="222732"/>
          <w:sz w:val="22"/>
        </w:rPr>
        <w:t xml:space="preserve">1. </w:t>
      </w:r>
      <w:r>
        <w:rPr>
          <w:rFonts w:ascii="Calibri" w:hAnsi="Calibri"/>
          <w:b w:val="0"/>
          <w:i w:val="0"/>
          <w:color w:val="222732"/>
          <w:sz w:val="22"/>
        </w:rPr>
        <w:t>Why does a great predictive model NOT automatically give a good treatment-effect estimate?</w:t>
      </w:r>
    </w:p>
    <w:p>
      <w:pPr>
        <w:pStyle w:val="ListBullet"/>
        <w:spacing w:after="60"/>
      </w:pPr>
      <w:r>
        <w:rPr>
          <w:rFonts w:ascii="Calibri" w:hAnsi="Calibri"/>
          <w:b/>
          <w:i w:val="0"/>
          <w:color w:val="222732"/>
          <w:sz w:val="22"/>
        </w:rPr>
        <w:t xml:space="preserve">2. </w:t>
      </w:r>
      <w:r>
        <w:rPr>
          <w:rFonts w:ascii="Calibri" w:hAnsi="Calibri"/>
          <w:b w:val="0"/>
          <w:i w:val="0"/>
          <w:color w:val="222732"/>
          <w:sz w:val="22"/>
        </w:rPr>
        <w:t>What exactly does cross-fitting protect you from, and why can't you just use all the data twice?</w:t>
      </w:r>
    </w:p>
    <w:p>
      <w:pPr>
        <w:pStyle w:val="ListBullet"/>
        <w:spacing w:after="60"/>
      </w:pPr>
      <w:r>
        <w:rPr>
          <w:rFonts w:ascii="Calibri" w:hAnsi="Calibri"/>
          <w:b/>
          <w:i w:val="0"/>
          <w:color w:val="222732"/>
          <w:sz w:val="22"/>
        </w:rPr>
        <w:t xml:space="preserve">3. </w:t>
      </w:r>
      <w:r>
        <w:rPr>
          <w:rFonts w:ascii="Calibri" w:hAnsi="Calibri"/>
          <w:b w:val="0"/>
          <w:i w:val="0"/>
          <w:color w:val="222732"/>
          <w:sz w:val="22"/>
        </w:rPr>
        <w:t>Where does the doubly robust / AIPW score from Week 7 reappear inside DML?</w:t>
      </w:r>
    </w:p>
    <w:p>
      <w:pPr>
        <w:spacing w:after="120"/>
      </w:pPr>
      <w:r>
        <w:rPr>
          <w:rFonts w:ascii="Calibri" w:hAnsi="Calibri"/>
          <w:b/>
          <w:i w:val="0"/>
          <w:color w:val="222732"/>
          <w:sz w:val="22"/>
        </w:rPr>
        <w:t>Slow down on:</w:t>
      </w:r>
    </w:p>
    <w:p>
      <w:pPr>
        <w:pStyle w:val="ListBullet"/>
        <w:spacing w:after="60"/>
      </w:pPr>
      <w:r>
        <w:rPr>
          <w:rFonts w:ascii="Calibri" w:hAnsi="Calibri"/>
          <w:b w:val="0"/>
          <w:i w:val="0"/>
          <w:color w:val="222732"/>
          <w:sz w:val="22"/>
        </w:rPr>
        <w:t>The residual-on-residual (Frisch-Waugh) picture of the partially linear model — it makes orthogonality tangible.</w:t>
      </w:r>
    </w:p>
    <w:p>
      <w:pPr>
        <w:pStyle w:val="ListBullet"/>
        <w:spacing w:after="60"/>
      </w:pPr>
      <w:r>
        <w:rPr>
          <w:rFonts w:ascii="Calibri" w:hAnsi="Calibri"/>
          <w:b w:val="0"/>
          <w:i w:val="0"/>
          <w:color w:val="222732"/>
          <w:sz w:val="22"/>
        </w:rPr>
        <w:t>Cross-fitting mechanics: fit nuisances on fold A, score on fold B, swap, average.</w:t>
      </w:r>
    </w:p>
    <w:p>
      <w:pPr>
        <w:spacing w:before="160" w:after="0"/>
        <w:shd w:val="clear" w:color="auto" w:fill="ECEEF2"/>
        <w:pBdr>
          <w:left w:val="single" w:sz="24" w:space="8" w:color="E9A23B"/>
        </w:pBdr>
      </w:pPr>
      <w:r>
        <w:rPr>
          <w:rFonts w:ascii="Calibri" w:hAnsi="Calibri"/>
          <w:b/>
          <w:i w:val="0"/>
          <w:color w:val="E9A23B"/>
          <w:sz w:val="22"/>
        </w:rPr>
        <w:t>Deliverable &amp; grading effort</w:t>
      </w:r>
    </w:p>
    <w:p>
      <w:pPr>
        <w:spacing w:before="0" w:after="40"/>
        <w:shd w:val="clear" w:color="auto" w:fill="ECEEF2"/>
        <w:pBdr>
          <w:left w:val="single" w:sz="24" w:space="8" w:color="E9A23B"/>
        </w:pBdr>
      </w:pPr>
      <w:r>
        <w:rPr>
          <w:rFonts w:ascii="Calibri" w:hAnsi="Calibri"/>
          <w:b w:val="0"/>
          <w:i w:val="0"/>
          <w:color w:val="222732"/>
          <w:sz w:val="21"/>
        </w:rPr>
        <w:t>Deliverable: Concept Set 12; Lab 9: Double ML.</w:t>
      </w:r>
    </w:p>
    <w:p>
      <w:pPr>
        <w:spacing w:before="0" w:after="40"/>
        <w:shd w:val="clear" w:color="auto" w:fill="ECEEF2"/>
        <w:pBdr>
          <w:left w:val="single" w:sz="24" w:space="8" w:color="E9A23B"/>
        </w:pBdr>
      </w:pPr>
      <w:r>
        <w:rPr>
          <w:rFonts w:ascii="Calibri" w:hAnsi="Calibri"/>
          <w:b w:val="0"/>
          <w:i w:val="0"/>
          <w:color w:val="222732"/>
          <w:sz w:val="21"/>
        </w:rPr>
        <w:t>Grading: Moderate. (Note: this week's content module may still be in progress.) If a lab ships, expect it to mirror the AIPW lab in effort (~12 min/student); the partialling-out estimate self-checks against a known ATE.</w:t>
      </w:r>
    </w:p>
    <w:p>
      <w:pPr>
        <w:spacing w:before="0" w:after="0"/>
      </w:pPr>
    </w:p>
    <w:p>
      <w:pPr>
        <w:spacing w:after="120"/>
      </w:pPr>
      <w:r>
        <w:rPr>
          <w:rFonts w:ascii="Calibri" w:hAnsi="Calibri"/>
          <w:b/>
          <w:i w:val="0"/>
          <w:color w:val="4E8C57"/>
          <w:sz w:val="22"/>
        </w:rPr>
        <w:t xml:space="preserve">If short on time:  </w:t>
      </w:r>
      <w:r>
        <w:rPr>
          <w:rFonts w:ascii="Calibri" w:hAnsi="Calibri"/>
          <w:b w:val="0"/>
          <w:i w:val="0"/>
          <w:color w:val="222732"/>
          <w:sz w:val="22"/>
        </w:rPr>
        <w:t>KEEP orthogonality + cross-fitting + the partially linear ATE. CUT the heterogeneous-effect DML (DML for CATE) since Week 13 covers heterogeneity directly.</w:t>
      </w:r>
    </w:p>
    <w:p>
      <w:pPr>
        <w:spacing w:before="200" w:after="40"/>
      </w:pPr>
      <w:r>
        <w:rPr>
          <w:rFonts w:ascii="Calibri" w:hAnsi="Calibri"/>
          <w:b/>
          <w:i w:val="0"/>
          <w:color w:val="2F6DB5"/>
          <w:sz w:val="26"/>
        </w:rPr>
        <w:t>Week 13 — Heterogeneous Effects &amp; Policy Learning</w:t>
      </w:r>
    </w:p>
    <w:p>
      <w:pPr>
        <w:spacing w:after="120"/>
      </w:pPr>
      <w:r>
        <w:rPr>
          <w:rFonts w:ascii="Calibri" w:hAnsi="Calibri"/>
          <w:b w:val="0"/>
          <w:i/>
          <w:color w:val="7F8694"/>
          <w:sz w:val="22"/>
        </w:rPr>
        <w:t>Block IV — Modern methods &amp; application</w:t>
      </w:r>
    </w:p>
    <w:p>
      <w:pPr>
        <w:spacing w:after="120"/>
      </w:pPr>
      <w:r>
        <w:rPr>
          <w:rFonts w:ascii="Calibri" w:hAnsi="Calibri"/>
          <w:b/>
          <w:i w:val="0"/>
          <w:color w:val="2F6DB5"/>
          <w:sz w:val="22"/>
        </w:rPr>
        <w:t xml:space="preserve">The point.  </w:t>
      </w:r>
      <w:r>
        <w:rPr>
          <w:rFonts w:ascii="Calibri" w:hAnsi="Calibri"/>
          <w:b w:val="0"/>
          <w:i w:val="0"/>
          <w:color w:val="222732"/>
          <w:sz w:val="22"/>
        </w:rPr>
        <w:t>The ATE can hide huge variation; this week estimates the conditional effect tau(x) with meta-learners and causal forests, evaluates it without ground truth, and turns it into a targeting policy.</w:t>
      </w:r>
    </w:p>
    <w:p>
      <w:pPr>
        <w:spacing w:after="120"/>
      </w:pPr>
      <w:r>
        <w:rPr>
          <w:rFonts w:ascii="Calibri" w:hAnsi="Calibri"/>
          <w:b/>
          <w:i w:val="0"/>
          <w:color w:val="222732"/>
          <w:sz w:val="22"/>
        </w:rPr>
        <w:t>Students must leave with:</w:t>
      </w:r>
    </w:p>
    <w:p>
      <w:pPr>
        <w:pStyle w:val="ListBullet"/>
        <w:spacing w:after="60"/>
      </w:pPr>
      <w:r>
        <w:rPr>
          <w:rFonts w:ascii="Calibri" w:hAnsi="Calibri"/>
          <w:b w:val="0"/>
          <w:i w:val="0"/>
          <w:color w:val="222732"/>
          <w:sz w:val="22"/>
        </w:rPr>
        <w:t>CATE tau(x)=E[Y(1)-Y(0)|X=x] differs from the ATE; an ATE of zero is compatible with large, offsetting individual effects.</w:t>
      </w:r>
    </w:p>
    <w:p>
      <w:pPr>
        <w:pStyle w:val="ListBullet"/>
        <w:spacing w:after="60"/>
      </w:pPr>
      <w:r>
        <w:rPr>
          <w:rFonts w:ascii="Calibri" w:hAnsi="Calibri"/>
          <w:b w:val="0"/>
          <w:i w:val="0"/>
          <w:color w:val="222732"/>
          <w:sz w:val="22"/>
        </w:rPr>
        <w:t>Meta-learners (S/T/X/R) build CATE from off-the-shelf regressors; the X-learner helps under imbalanced treatment groups.</w:t>
      </w:r>
    </w:p>
    <w:p>
      <w:pPr>
        <w:pStyle w:val="ListBullet"/>
        <w:spacing w:after="60"/>
      </w:pPr>
      <w:r>
        <w:rPr>
          <w:rFonts w:ascii="Calibri" w:hAnsi="Calibri"/>
          <w:b w:val="0"/>
          <w:i w:val="0"/>
          <w:color w:val="222732"/>
          <w:sz w:val="22"/>
        </w:rPr>
        <w:t>Evaluate CATE WITHOUT ground truth via calibration and uplift/Qini curves; then turn tau-hat into a policy pi(x)=1{tau-hat(x)&gt;c} and value it.</w:t>
      </w:r>
    </w:p>
    <w:p>
      <w:pPr>
        <w:spacing w:after="120"/>
      </w:pPr>
      <w:r>
        <w:rPr>
          <w:rFonts w:ascii="Calibri" w:hAnsi="Calibri"/>
          <w:b/>
          <w:i w:val="0"/>
          <w:color w:val="C0504D"/>
          <w:sz w:val="22"/>
        </w:rPr>
        <w:t>Where they stumble:</w:t>
      </w:r>
    </w:p>
    <w:p>
      <w:pPr>
        <w:pStyle w:val="ListBullet"/>
        <w:spacing w:after="60"/>
      </w:pPr>
      <w:r>
        <w:rPr>
          <w:rFonts w:ascii="Calibri" w:hAnsi="Calibri"/>
          <w:b w:val="0"/>
          <w:i w:val="0"/>
          <w:color w:val="222732"/>
          <w:sz w:val="22"/>
        </w:rPr>
        <w:t>Naive subgroup-hunting (slice until something is significant) overfits — the canonical sin this week inoculates against.</w:t>
      </w:r>
    </w:p>
    <w:p>
      <w:pPr>
        <w:pStyle w:val="ListBullet"/>
        <w:spacing w:after="60"/>
      </w:pPr>
      <w:r>
        <w:rPr>
          <w:rFonts w:ascii="Calibri" w:hAnsi="Calibri"/>
          <w:b w:val="0"/>
          <w:i w:val="0"/>
          <w:color w:val="222732"/>
          <w:sz w:val="22"/>
        </w:rPr>
        <w:t>Students want an accuracy metric for CATE but have no per-unit ground truth; the move to calibration/uplift is the key mental shift.</w:t>
      </w:r>
    </w:p>
    <w:p>
      <w:pPr>
        <w:pStyle w:val="ListBullet"/>
        <w:spacing w:after="60"/>
      </w:pPr>
      <w:r>
        <w:rPr>
          <w:rFonts w:ascii="Calibri" w:hAnsi="Calibri"/>
          <w:b w:val="0"/>
          <w:i w:val="0"/>
          <w:color w:val="222732"/>
          <w:sz w:val="22"/>
        </w:rPr>
        <w:t>A policy that 'treats the high-tau group' is assumed optimal without comparing to treat-all / treat-none baselines.</w:t>
      </w:r>
    </w:p>
    <w:p>
      <w:pPr>
        <w:spacing w:after="120"/>
      </w:pPr>
      <w:r>
        <w:rPr>
          <w:rFonts w:ascii="Calibri" w:hAnsi="Calibri"/>
          <w:b/>
          <w:i w:val="0"/>
          <w:color w:val="222732"/>
          <w:sz w:val="22"/>
        </w:rPr>
        <w:t>Discussion prompts:</w:t>
      </w:r>
    </w:p>
    <w:p>
      <w:pPr>
        <w:pStyle w:val="ListBullet"/>
        <w:spacing w:after="60"/>
      </w:pPr>
      <w:r>
        <w:rPr>
          <w:rFonts w:ascii="Calibri" w:hAnsi="Calibri"/>
          <w:b/>
          <w:i w:val="0"/>
          <w:color w:val="222732"/>
          <w:sz w:val="22"/>
        </w:rPr>
        <w:t xml:space="preserve">1. </w:t>
      </w:r>
      <w:r>
        <w:rPr>
          <w:rFonts w:ascii="Calibri" w:hAnsi="Calibri"/>
          <w:b w:val="0"/>
          <w:i w:val="0"/>
          <w:color w:val="222732"/>
          <w:sz w:val="22"/>
        </w:rPr>
        <w:t>Your ATE is zero. Argue for still running the program, using CATE.</w:t>
      </w:r>
    </w:p>
    <w:p>
      <w:pPr>
        <w:pStyle w:val="ListBullet"/>
        <w:spacing w:after="60"/>
      </w:pPr>
      <w:r>
        <w:rPr>
          <w:rFonts w:ascii="Calibri" w:hAnsi="Calibri"/>
          <w:b/>
          <w:i w:val="0"/>
          <w:color w:val="222732"/>
          <w:sz w:val="22"/>
        </w:rPr>
        <w:t xml:space="preserve">2. </w:t>
      </w:r>
      <w:r>
        <w:rPr>
          <w:rFonts w:ascii="Calibri" w:hAnsi="Calibri"/>
          <w:b w:val="0"/>
          <w:i w:val="0"/>
          <w:color w:val="222732"/>
          <w:sz w:val="22"/>
        </w:rPr>
        <w:t>Without ground-truth individual effects, how would you convince a skeptic your CATE model is any good?</w:t>
      </w:r>
    </w:p>
    <w:p>
      <w:pPr>
        <w:pStyle w:val="ListBullet"/>
        <w:spacing w:after="60"/>
      </w:pPr>
      <w:r>
        <w:rPr>
          <w:rFonts w:ascii="Calibri" w:hAnsi="Calibri"/>
          <w:b/>
          <w:i w:val="0"/>
          <w:color w:val="222732"/>
          <w:sz w:val="22"/>
        </w:rPr>
        <w:t xml:space="preserve">3. </w:t>
      </w:r>
      <w:r>
        <w:rPr>
          <w:rFonts w:ascii="Calibri" w:hAnsi="Calibri"/>
          <w:b w:val="0"/>
          <w:i w:val="0"/>
          <w:color w:val="222732"/>
          <w:sz w:val="22"/>
        </w:rPr>
        <w:t>When is a 'treat everyone' policy actually the right call despite heterogeneity?</w:t>
      </w:r>
    </w:p>
    <w:p>
      <w:pPr>
        <w:spacing w:after="120"/>
      </w:pPr>
      <w:r>
        <w:rPr>
          <w:rFonts w:ascii="Calibri" w:hAnsi="Calibri"/>
          <w:b/>
          <w:i w:val="0"/>
          <w:color w:val="222732"/>
          <w:sz w:val="22"/>
        </w:rPr>
        <w:t>Slow down on:</w:t>
      </w:r>
    </w:p>
    <w:p>
      <w:pPr>
        <w:pStyle w:val="ListBullet"/>
        <w:spacing w:after="60"/>
      </w:pPr>
      <w:r>
        <w:rPr>
          <w:rFonts w:ascii="Calibri" w:hAnsi="Calibri"/>
          <w:b w:val="0"/>
          <w:i w:val="0"/>
          <w:color w:val="222732"/>
          <w:sz w:val="22"/>
        </w:rPr>
        <w:t>Why you cannot score a CATE model the way you score a classifier — and what uplift/Qini curves do instead.</w:t>
      </w:r>
    </w:p>
    <w:p>
      <w:pPr>
        <w:pStyle w:val="ListBullet"/>
        <w:spacing w:after="60"/>
      </w:pPr>
      <w:r>
        <w:rPr>
          <w:rFonts w:ascii="Calibri" w:hAnsi="Calibri"/>
          <w:b w:val="0"/>
          <w:i w:val="0"/>
          <w:color w:val="222732"/>
          <w:sz w:val="22"/>
        </w:rPr>
        <w:t>Honest splitting in causal forests and why it buys valid intervals.</w:t>
      </w:r>
    </w:p>
    <w:p>
      <w:pPr>
        <w:spacing w:before="160" w:after="0"/>
        <w:shd w:val="clear" w:color="auto" w:fill="ECEEF2"/>
        <w:pBdr>
          <w:left w:val="single" w:sz="24" w:space="8" w:color="E9A23B"/>
        </w:pBdr>
      </w:pPr>
      <w:r>
        <w:rPr>
          <w:rFonts w:ascii="Calibri" w:hAnsi="Calibri"/>
          <w:b/>
          <w:i w:val="0"/>
          <w:color w:val="E9A23B"/>
          <w:sz w:val="22"/>
        </w:rPr>
        <w:t>Deliverable &amp; grading effort</w:t>
      </w:r>
    </w:p>
    <w:p>
      <w:pPr>
        <w:spacing w:before="0" w:after="40"/>
        <w:shd w:val="clear" w:color="auto" w:fill="ECEEF2"/>
        <w:pBdr>
          <w:left w:val="single" w:sz="24" w:space="8" w:color="E9A23B"/>
        </w:pBdr>
      </w:pPr>
      <w:r>
        <w:rPr>
          <w:rFonts w:ascii="Calibri" w:hAnsi="Calibri"/>
          <w:b w:val="0"/>
          <w:i w:val="0"/>
          <w:color w:val="222732"/>
          <w:sz w:val="21"/>
        </w:rPr>
        <w:t>Deliverable: Problem Set 7; Lab 10: CATE &amp; policy learning.</w:t>
      </w:r>
    </w:p>
    <w:p>
      <w:pPr>
        <w:spacing w:before="0" w:after="40"/>
        <w:shd w:val="clear" w:color="auto" w:fill="ECEEF2"/>
        <w:pBdr>
          <w:left w:val="single" w:sz="24" w:space="8" w:color="E9A23B"/>
        </w:pBdr>
      </w:pPr>
      <w:r>
        <w:rPr>
          <w:rFonts w:ascii="Calibri" w:hAnsi="Calibri"/>
          <w:b w:val="0"/>
          <w:i w:val="0"/>
          <w:color w:val="222732"/>
          <w:sz w:val="21"/>
        </w:rPr>
        <w:t>Grading: Moderate-to-heavy. PS7 plus Lab 10 (meta-learners, uplift curves, an optimal rule) with a known tau(x) — self-checking but multi-part; ~15 min/student.</w:t>
      </w:r>
    </w:p>
    <w:p>
      <w:pPr>
        <w:spacing w:before="0" w:after="0"/>
      </w:pPr>
    </w:p>
    <w:p>
      <w:pPr>
        <w:spacing w:after="120"/>
      </w:pPr>
      <w:r>
        <w:rPr>
          <w:rFonts w:ascii="Calibri" w:hAnsi="Calibri"/>
          <w:b/>
          <w:i w:val="0"/>
          <w:color w:val="4E8C57"/>
          <w:sz w:val="22"/>
        </w:rPr>
        <w:t xml:space="preserve">If short on time:  </w:t>
      </w:r>
      <w:r>
        <w:rPr>
          <w:rFonts w:ascii="Calibri" w:hAnsi="Calibri"/>
          <w:b w:val="0"/>
          <w:i w:val="0"/>
          <w:color w:val="222732"/>
          <w:sz w:val="22"/>
        </w:rPr>
        <w:t>KEEP CATE-vs-ATE, one meta-learner end-to-end, and policy value. CUT the full S/T/X/R comparison to a table if you only have time for one learner.</w:t>
      </w:r>
    </w:p>
    <w:p>
      <w:pPr>
        <w:spacing w:before="200" w:after="40"/>
      </w:pPr>
      <w:r>
        <w:rPr>
          <w:rFonts w:ascii="Calibri" w:hAnsi="Calibri"/>
          <w:b/>
          <w:i w:val="0"/>
          <w:color w:val="2F6DB5"/>
          <w:sz w:val="26"/>
        </w:rPr>
        <w:t>Week 14 — Advanced Topics</w:t>
      </w:r>
    </w:p>
    <w:p>
      <w:pPr>
        <w:spacing w:after="120"/>
      </w:pPr>
      <w:r>
        <w:rPr>
          <w:rFonts w:ascii="Calibri" w:hAnsi="Calibri"/>
          <w:b w:val="0"/>
          <w:i/>
          <w:color w:val="7F8694"/>
          <w:sz w:val="22"/>
        </w:rPr>
        <w:t>Block IV — Modern methods &amp; application</w:t>
      </w:r>
    </w:p>
    <w:p>
      <w:pPr>
        <w:spacing w:after="120"/>
      </w:pPr>
      <w:r>
        <w:rPr>
          <w:rFonts w:ascii="Calibri" w:hAnsi="Calibri"/>
          <w:b/>
          <w:i w:val="0"/>
          <w:color w:val="2F6DB5"/>
          <w:sz w:val="22"/>
        </w:rPr>
        <w:t xml:space="preserve">The point.  </w:t>
      </w:r>
      <w:r>
        <w:rPr>
          <w:rFonts w:ascii="Calibri" w:hAnsi="Calibri"/>
          <w:b w:val="0"/>
          <w:i w:val="0"/>
          <w:color w:val="222732"/>
          <w:sz w:val="22"/>
        </w:rPr>
        <w:t>Four questions modern causal inference takes seriously: how an effect flows through a mediator, how fragile it is to unmeasured confounding, how to handle time-varying treatment, and how to learn structure.</w:t>
      </w:r>
    </w:p>
    <w:p>
      <w:pPr>
        <w:spacing w:after="120"/>
      </w:pPr>
      <w:r>
        <w:rPr>
          <w:rFonts w:ascii="Calibri" w:hAnsi="Calibri"/>
          <w:b/>
          <w:i w:val="0"/>
          <w:color w:val="222732"/>
          <w:sz w:val="22"/>
        </w:rPr>
        <w:t>Students must leave with:</w:t>
      </w:r>
    </w:p>
    <w:p>
      <w:pPr>
        <w:pStyle w:val="ListBullet"/>
        <w:spacing w:after="60"/>
      </w:pPr>
      <w:r>
        <w:rPr>
          <w:rFonts w:ascii="Calibri" w:hAnsi="Calibri"/>
          <w:b w:val="0"/>
          <w:i w:val="0"/>
          <w:color w:val="222732"/>
          <w:sz w:val="22"/>
        </w:rPr>
        <w:t>A total effect splits into a natural direct (NDE) and natural indirect (NIE) effect — under assumptions stronger than for a total effect.</w:t>
      </w:r>
    </w:p>
    <w:p>
      <w:pPr>
        <w:pStyle w:val="ListBullet"/>
        <w:spacing w:after="60"/>
      </w:pPr>
      <w:r>
        <w:rPr>
          <w:rFonts w:ascii="Calibri" w:hAnsi="Calibri"/>
          <w:b w:val="0"/>
          <w:i w:val="0"/>
          <w:color w:val="222732"/>
          <w:sz w:val="22"/>
        </w:rPr>
        <w:t>An E-value says how strong an unmeasured confounder must be to explain a result away — a plain-language fragility statement.</w:t>
      </w:r>
    </w:p>
    <w:p>
      <w:pPr>
        <w:pStyle w:val="ListBullet"/>
        <w:spacing w:after="60"/>
      </w:pPr>
      <w:r>
        <w:rPr>
          <w:rFonts w:ascii="Calibri" w:hAnsi="Calibri"/>
          <w:b w:val="0"/>
          <w:i w:val="0"/>
          <w:color w:val="222732"/>
          <w:sz w:val="22"/>
        </w:rPr>
        <w:t>When a confounder is itself affected by prior treatment, ordinary regression fails and the g-formula repairs it by standardization; discovery (PC/GES) recovers only an equivalence class.</w:t>
      </w:r>
    </w:p>
    <w:p>
      <w:pPr>
        <w:spacing w:after="120"/>
      </w:pPr>
      <w:r>
        <w:rPr>
          <w:rFonts w:ascii="Calibri" w:hAnsi="Calibri"/>
          <w:b/>
          <w:i w:val="0"/>
          <w:color w:val="C0504D"/>
          <w:sz w:val="22"/>
        </w:rPr>
        <w:t>Where they stumble:</w:t>
      </w:r>
    </w:p>
    <w:p>
      <w:pPr>
        <w:pStyle w:val="ListBullet"/>
        <w:spacing w:after="60"/>
      </w:pPr>
      <w:r>
        <w:rPr>
          <w:rFonts w:ascii="Calibri" w:hAnsi="Calibri"/>
          <w:b w:val="0"/>
          <w:i w:val="0"/>
          <w:color w:val="222732"/>
          <w:sz w:val="22"/>
        </w:rPr>
        <w:t>Mediation assumptions are heavier than students expect; resist treating NDE/NIE as 'just two more regressions'.</w:t>
      </w:r>
    </w:p>
    <w:p>
      <w:pPr>
        <w:pStyle w:val="ListBullet"/>
        <w:spacing w:after="60"/>
      </w:pPr>
      <w:r>
        <w:rPr>
          <w:rFonts w:ascii="Calibri" w:hAnsi="Calibri"/>
          <w:b w:val="0"/>
          <w:i w:val="0"/>
          <w:color w:val="222732"/>
          <w:sz w:val="22"/>
        </w:rPr>
        <w:t>The E-value is misread as a p-value; it answers 'how strong a confounder', not 'how surprising the data'.</w:t>
      </w:r>
    </w:p>
    <w:p>
      <w:pPr>
        <w:pStyle w:val="ListBullet"/>
        <w:spacing w:after="60"/>
      </w:pPr>
      <w:r>
        <w:rPr>
          <w:rFonts w:ascii="Calibri" w:hAnsi="Calibri"/>
          <w:b w:val="0"/>
          <w:i w:val="0"/>
          <w:color w:val="222732"/>
          <w:sz w:val="22"/>
        </w:rPr>
        <w:t>Causal discovery is oversold by students as 'learning the true DAG' — stress the Markov-equivalence-class ceiling.</w:t>
      </w:r>
    </w:p>
    <w:p>
      <w:pPr>
        <w:spacing w:after="120"/>
      </w:pPr>
      <w:r>
        <w:rPr>
          <w:rFonts w:ascii="Calibri" w:hAnsi="Calibri"/>
          <w:b/>
          <w:i w:val="0"/>
          <w:color w:val="222732"/>
          <w:sz w:val="22"/>
        </w:rPr>
        <w:t>Discussion prompts:</w:t>
      </w:r>
    </w:p>
    <w:p>
      <w:pPr>
        <w:pStyle w:val="ListBullet"/>
        <w:spacing w:after="60"/>
      </w:pPr>
      <w:r>
        <w:rPr>
          <w:rFonts w:ascii="Calibri" w:hAnsi="Calibri"/>
          <w:b/>
          <w:i w:val="0"/>
          <w:color w:val="222732"/>
          <w:sz w:val="22"/>
        </w:rPr>
        <w:t xml:space="preserve">1. </w:t>
      </w:r>
      <w:r>
        <w:rPr>
          <w:rFonts w:ascii="Calibri" w:hAnsi="Calibri"/>
          <w:b w:val="0"/>
          <w:i w:val="0"/>
          <w:color w:val="222732"/>
          <w:sz w:val="22"/>
        </w:rPr>
        <w:t>For a finding you trust, compute (roughly) the E-value. Does a confounder that strong plausibly exist?</w:t>
      </w:r>
    </w:p>
    <w:p>
      <w:pPr>
        <w:pStyle w:val="ListBullet"/>
        <w:spacing w:after="60"/>
      </w:pPr>
      <w:r>
        <w:rPr>
          <w:rFonts w:ascii="Calibri" w:hAnsi="Calibri"/>
          <w:b/>
          <w:i w:val="0"/>
          <w:color w:val="222732"/>
          <w:sz w:val="22"/>
        </w:rPr>
        <w:t xml:space="preserve">2. </w:t>
      </w:r>
      <w:r>
        <w:rPr>
          <w:rFonts w:ascii="Calibri" w:hAnsi="Calibri"/>
          <w:b w:val="0"/>
          <w:i w:val="0"/>
          <w:color w:val="222732"/>
          <w:sz w:val="22"/>
        </w:rPr>
        <w:t>Give a time-varying-treatment story where adjusting for the intermediate confounder is exactly the wrong move.</w:t>
      </w:r>
    </w:p>
    <w:p>
      <w:pPr>
        <w:pStyle w:val="ListBullet"/>
        <w:spacing w:after="60"/>
      </w:pPr>
      <w:r>
        <w:rPr>
          <w:rFonts w:ascii="Calibri" w:hAnsi="Calibri"/>
          <w:b/>
          <w:i w:val="0"/>
          <w:color w:val="222732"/>
          <w:sz w:val="22"/>
        </w:rPr>
        <w:t xml:space="preserve">3. </w:t>
      </w:r>
      <w:r>
        <w:rPr>
          <w:rFonts w:ascii="Calibri" w:hAnsi="Calibri"/>
          <w:b w:val="0"/>
          <w:i w:val="0"/>
          <w:color w:val="222732"/>
          <w:sz w:val="22"/>
        </w:rPr>
        <w:t>If discovery only returns an equivalence class, what extra knowledge breaks the tie?</w:t>
      </w:r>
    </w:p>
    <w:p>
      <w:pPr>
        <w:spacing w:after="120"/>
      </w:pPr>
      <w:r>
        <w:rPr>
          <w:rFonts w:ascii="Calibri" w:hAnsi="Calibri"/>
          <w:b/>
          <w:i w:val="0"/>
          <w:color w:val="222732"/>
          <w:sz w:val="22"/>
        </w:rPr>
        <w:t>Slow down on:</w:t>
      </w:r>
    </w:p>
    <w:p>
      <w:pPr>
        <w:pStyle w:val="ListBullet"/>
        <w:spacing w:after="60"/>
      </w:pPr>
      <w:r>
        <w:rPr>
          <w:rFonts w:ascii="Calibri" w:hAnsi="Calibri"/>
          <w:b w:val="0"/>
          <w:i w:val="0"/>
          <w:color w:val="222732"/>
          <w:sz w:val="22"/>
        </w:rPr>
        <w:t>Why an intermediate confounder affected by prior treatment defeats regression — draw the time-indexed DAG.</w:t>
      </w:r>
    </w:p>
    <w:p>
      <w:pPr>
        <w:pStyle w:val="ListBullet"/>
        <w:spacing w:after="60"/>
      </w:pPr>
      <w:r>
        <w:rPr>
          <w:rFonts w:ascii="Calibri" w:hAnsi="Calibri"/>
          <w:b w:val="0"/>
          <w:i w:val="0"/>
          <w:color w:val="222732"/>
          <w:sz w:val="22"/>
        </w:rPr>
        <w:t>Reading an E-value as a sensitivity statement, not a significance test.</w:t>
      </w:r>
    </w:p>
    <w:p>
      <w:pPr>
        <w:spacing w:before="160" w:after="0"/>
        <w:shd w:val="clear" w:color="auto" w:fill="ECEEF2"/>
        <w:pBdr>
          <w:left w:val="single" w:sz="24" w:space="8" w:color="E9A23B"/>
        </w:pBdr>
      </w:pPr>
      <w:r>
        <w:rPr>
          <w:rFonts w:ascii="Calibri" w:hAnsi="Calibri"/>
          <w:b/>
          <w:i w:val="0"/>
          <w:color w:val="E9A23B"/>
          <w:sz w:val="22"/>
        </w:rPr>
        <w:t>Deliverable &amp; grading effort</w:t>
      </w:r>
    </w:p>
    <w:p>
      <w:pPr>
        <w:spacing w:before="0" w:after="40"/>
        <w:shd w:val="clear" w:color="auto" w:fill="ECEEF2"/>
        <w:pBdr>
          <w:left w:val="single" w:sz="24" w:space="8" w:color="E9A23B"/>
        </w:pBdr>
      </w:pPr>
      <w:r>
        <w:rPr>
          <w:rFonts w:ascii="Calibri" w:hAnsi="Calibri"/>
          <w:b w:val="0"/>
          <w:i w:val="0"/>
          <w:color w:val="222732"/>
          <w:sz w:val="21"/>
        </w:rPr>
        <w:t>Deliverable: Problem Set 8; Workshop 14: Mediation, E-values &amp; discovery.</w:t>
      </w:r>
    </w:p>
    <w:p>
      <w:pPr>
        <w:spacing w:before="0" w:after="40"/>
        <w:shd w:val="clear" w:color="auto" w:fill="ECEEF2"/>
        <w:pBdr>
          <w:left w:val="single" w:sz="24" w:space="8" w:color="E9A23B"/>
        </w:pBdr>
      </w:pPr>
      <w:r>
        <w:rPr>
          <w:rFonts w:ascii="Calibri" w:hAnsi="Calibri"/>
          <w:b w:val="0"/>
          <w:i w:val="0"/>
          <w:color w:val="222732"/>
          <w:sz w:val="21"/>
        </w:rPr>
        <w:t>Grading: Moderate but broad. PS8 and Workshop 14 each span four mini-topics; grade for one-correct-idea-per-topic rather than depth. ~12 min/student. This is a survey week — calibrate expectations accordingly.</w:t>
      </w:r>
    </w:p>
    <w:p>
      <w:pPr>
        <w:spacing w:before="0" w:after="0"/>
      </w:pPr>
    </w:p>
    <w:p>
      <w:pPr>
        <w:spacing w:after="120"/>
      </w:pPr>
      <w:r>
        <w:rPr>
          <w:rFonts w:ascii="Calibri" w:hAnsi="Calibri"/>
          <w:b/>
          <w:i w:val="0"/>
          <w:color w:val="4E8C57"/>
          <w:sz w:val="22"/>
        </w:rPr>
        <w:t xml:space="preserve">If short on time:  </w:t>
      </w:r>
      <w:r>
        <w:rPr>
          <w:rFonts w:ascii="Calibri" w:hAnsi="Calibri"/>
          <w:b w:val="0"/>
          <w:i w:val="0"/>
          <w:color w:val="222732"/>
          <w:sz w:val="22"/>
        </w:rPr>
        <w:t>KEEP E-values (cheap, high-leverage for the capstone) and the g-formula intuition. CUT or skim NOTEARS / detailed discovery if you need to protect capstone-prep time.</w:t>
      </w:r>
    </w:p>
    <w:p>
      <w:pPr>
        <w:spacing w:before="200" w:after="40"/>
      </w:pPr>
      <w:r>
        <w:rPr>
          <w:rFonts w:ascii="Calibri" w:hAnsi="Calibri"/>
          <w:b/>
          <w:i w:val="0"/>
          <w:color w:val="2F6DB5"/>
          <w:sz w:val="26"/>
        </w:rPr>
        <w:t>Week 15 — Capstone, Reproducibility &amp; Communication</w:t>
      </w:r>
    </w:p>
    <w:p>
      <w:pPr>
        <w:spacing w:after="120"/>
      </w:pPr>
      <w:r>
        <w:rPr>
          <w:rFonts w:ascii="Calibri" w:hAnsi="Calibri"/>
          <w:b w:val="0"/>
          <w:i/>
          <w:color w:val="7F8694"/>
          <w:sz w:val="22"/>
        </w:rPr>
        <w:t>Block IV — Modern methods &amp; application</w:t>
      </w:r>
    </w:p>
    <w:p>
      <w:pPr>
        <w:spacing w:after="120"/>
      </w:pPr>
      <w:r>
        <w:rPr>
          <w:rFonts w:ascii="Calibri" w:hAnsi="Calibri"/>
          <w:b/>
          <w:i w:val="0"/>
          <w:color w:val="2F6DB5"/>
          <w:sz w:val="22"/>
        </w:rPr>
        <w:t xml:space="preserve">The point.  </w:t>
      </w:r>
      <w:r>
        <w:rPr>
          <w:rFonts w:ascii="Calibri" w:hAnsi="Calibri"/>
          <w:b w:val="0"/>
          <w:i w:val="0"/>
          <w:color w:val="222732"/>
          <w:sz w:val="22"/>
        </w:rPr>
        <w:t>A causal claim is only as good as the design that earns it, the assumptions stated out loud, the robustness checks that fail to overturn it, and the honest sentence you can tell a decision-maker.</w:t>
      </w:r>
    </w:p>
    <w:p>
      <w:pPr>
        <w:spacing w:after="120"/>
      </w:pPr>
      <w:r>
        <w:rPr>
          <w:rFonts w:ascii="Calibri" w:hAnsi="Calibri"/>
          <w:b/>
          <w:i w:val="0"/>
          <w:color w:val="222732"/>
          <w:sz w:val="22"/>
        </w:rPr>
        <w:t>Students must leave with:</w:t>
      </w:r>
    </w:p>
    <w:p>
      <w:pPr>
        <w:pStyle w:val="ListBullet"/>
        <w:spacing w:after="60"/>
      </w:pPr>
      <w:r>
        <w:rPr>
          <w:rFonts w:ascii="Calibri" w:hAnsi="Calibri"/>
          <w:b w:val="0"/>
          <w:i w:val="0"/>
          <w:color w:val="222732"/>
          <w:sz w:val="22"/>
        </w:rPr>
        <w:t>Let the question and the data choose the design (RCT/matching/IV/RD/DiD/SC/DML), and justify it against the alternatives.</w:t>
      </w:r>
    </w:p>
    <w:p>
      <w:pPr>
        <w:pStyle w:val="ListBullet"/>
        <w:spacing w:after="60"/>
      </w:pPr>
      <w:r>
        <w:rPr>
          <w:rFonts w:ascii="Calibri" w:hAnsi="Calibri"/>
          <w:b w:val="0"/>
          <w:i w:val="0"/>
          <w:color w:val="222732"/>
          <w:sz w:val="22"/>
        </w:rPr>
        <w:t>A pre-analysis plan closes the garden of forking paths before you touch the outcome; robustness/multiverse + sensitivity report what would overturn the result.</w:t>
      </w:r>
    </w:p>
    <w:p>
      <w:pPr>
        <w:pStyle w:val="ListBullet"/>
        <w:spacing w:after="60"/>
      </w:pPr>
      <w:r>
        <w:rPr>
          <w:rFonts w:ascii="Calibri" w:hAnsi="Calibri"/>
          <w:b w:val="0"/>
          <w:i w:val="0"/>
          <w:color w:val="222732"/>
          <w:sz w:val="22"/>
        </w:rPr>
        <w:t>Reproducibility (one command, fixed seed, logged environment) and honest three-sentence communication are deliverables, not afterthoughts.</w:t>
      </w:r>
    </w:p>
    <w:p>
      <w:pPr>
        <w:spacing w:after="120"/>
      </w:pPr>
      <w:r>
        <w:rPr>
          <w:rFonts w:ascii="Calibri" w:hAnsi="Calibri"/>
          <w:b/>
          <w:i w:val="0"/>
          <w:color w:val="C0504D"/>
          <w:sz w:val="22"/>
        </w:rPr>
        <w:t>Where they stumble:</w:t>
      </w:r>
    </w:p>
    <w:p>
      <w:pPr>
        <w:pStyle w:val="ListBullet"/>
        <w:spacing w:after="60"/>
      </w:pPr>
      <w:r>
        <w:rPr>
          <w:rFonts w:ascii="Calibri" w:hAnsi="Calibri"/>
          <w:b w:val="0"/>
          <w:i w:val="0"/>
          <w:color w:val="222732"/>
          <w:sz w:val="22"/>
        </w:rPr>
        <w:t>Students reach for the fanciest method instead of the one the data actually supports — reward fit-to-question over sophistication.</w:t>
      </w:r>
    </w:p>
    <w:p>
      <w:pPr>
        <w:pStyle w:val="ListBullet"/>
        <w:spacing w:after="60"/>
      </w:pPr>
      <w:r>
        <w:rPr>
          <w:rFonts w:ascii="Calibri" w:hAnsi="Calibri"/>
          <w:b w:val="0"/>
          <w:i w:val="0"/>
          <w:color w:val="222732"/>
          <w:sz w:val="22"/>
        </w:rPr>
        <w:t>Pre-analysis plans get written AFTER peeking at outcomes; enforce timing.</w:t>
      </w:r>
    </w:p>
    <w:p>
      <w:pPr>
        <w:pStyle w:val="ListBullet"/>
        <w:spacing w:after="60"/>
      </w:pPr>
      <w:r>
        <w:rPr>
          <w:rFonts w:ascii="Calibri" w:hAnsi="Calibri"/>
          <w:b w:val="0"/>
          <w:i w:val="0"/>
          <w:color w:val="222732"/>
          <w:sz w:val="22"/>
        </w:rPr>
        <w:t>Communication over- or under-claims; drill the three-honest-sentences format.</w:t>
      </w:r>
    </w:p>
    <w:p>
      <w:pPr>
        <w:spacing w:after="120"/>
      </w:pPr>
      <w:r>
        <w:rPr>
          <w:rFonts w:ascii="Calibri" w:hAnsi="Calibri"/>
          <w:b/>
          <w:i w:val="0"/>
          <w:color w:val="222732"/>
          <w:sz w:val="22"/>
        </w:rPr>
        <w:t>Discussion prompts:</w:t>
      </w:r>
    </w:p>
    <w:p>
      <w:pPr>
        <w:pStyle w:val="ListBullet"/>
        <w:spacing w:after="60"/>
      </w:pPr>
      <w:r>
        <w:rPr>
          <w:rFonts w:ascii="Calibri" w:hAnsi="Calibri"/>
          <w:b/>
          <w:i w:val="0"/>
          <w:color w:val="222732"/>
          <w:sz w:val="22"/>
        </w:rPr>
        <w:t xml:space="preserve">1. </w:t>
      </w:r>
      <w:r>
        <w:rPr>
          <w:rFonts w:ascii="Calibri" w:hAnsi="Calibri"/>
          <w:b w:val="0"/>
          <w:i w:val="0"/>
          <w:color w:val="222732"/>
          <w:sz w:val="22"/>
        </w:rPr>
        <w:t>Pitch your capstone design in 60 seconds, then name the single assumption most likely to sink it.</w:t>
      </w:r>
    </w:p>
    <w:p>
      <w:pPr>
        <w:pStyle w:val="ListBullet"/>
        <w:spacing w:after="60"/>
      </w:pPr>
      <w:r>
        <w:rPr>
          <w:rFonts w:ascii="Calibri" w:hAnsi="Calibri"/>
          <w:b/>
          <w:i w:val="0"/>
          <w:color w:val="222732"/>
          <w:sz w:val="22"/>
        </w:rPr>
        <w:t xml:space="preserve">2. </w:t>
      </w:r>
      <w:r>
        <w:rPr>
          <w:rFonts w:ascii="Calibri" w:hAnsi="Calibri"/>
          <w:b w:val="0"/>
          <w:i w:val="0"/>
          <w:color w:val="222732"/>
          <w:sz w:val="22"/>
        </w:rPr>
        <w:t>What result, if you saw it, would force you to retract your headline finding?</w:t>
      </w:r>
    </w:p>
    <w:p>
      <w:pPr>
        <w:pStyle w:val="ListBullet"/>
        <w:spacing w:after="60"/>
      </w:pPr>
      <w:r>
        <w:rPr>
          <w:rFonts w:ascii="Calibri" w:hAnsi="Calibri"/>
          <w:b/>
          <w:i w:val="0"/>
          <w:color w:val="222732"/>
          <w:sz w:val="22"/>
        </w:rPr>
        <w:t xml:space="preserve">3. </w:t>
      </w:r>
      <w:r>
        <w:rPr>
          <w:rFonts w:ascii="Calibri" w:hAnsi="Calibri"/>
          <w:b w:val="0"/>
          <w:i w:val="0"/>
          <w:color w:val="222732"/>
          <w:sz w:val="22"/>
        </w:rPr>
        <w:t>State your effect and its uncertainty to a non-technical stakeholder in exactly three sentences.</w:t>
      </w:r>
    </w:p>
    <w:p>
      <w:pPr>
        <w:spacing w:after="120"/>
      </w:pPr>
      <w:r>
        <w:rPr>
          <w:rFonts w:ascii="Calibri" w:hAnsi="Calibri"/>
          <w:b/>
          <w:i w:val="0"/>
          <w:color w:val="222732"/>
          <w:sz w:val="22"/>
        </w:rPr>
        <w:t>Slow down on:</w:t>
      </w:r>
    </w:p>
    <w:p>
      <w:pPr>
        <w:pStyle w:val="ListBullet"/>
        <w:spacing w:after="60"/>
      </w:pPr>
      <w:r>
        <w:rPr>
          <w:rFonts w:ascii="Calibri" w:hAnsi="Calibri"/>
          <w:b w:val="0"/>
          <w:i w:val="0"/>
          <w:color w:val="222732"/>
          <w:sz w:val="22"/>
        </w:rPr>
        <w:t>The design-selection decision (which method, given which data) — workshop it live on students' own projects.</w:t>
      </w:r>
    </w:p>
    <w:p>
      <w:pPr>
        <w:pStyle w:val="ListBullet"/>
        <w:spacing w:after="60"/>
      </w:pPr>
      <w:r>
        <w:rPr>
          <w:rFonts w:ascii="Calibri" w:hAnsi="Calibri"/>
          <w:b w:val="0"/>
          <w:i w:val="0"/>
          <w:color w:val="222732"/>
          <w:sz w:val="22"/>
        </w:rPr>
        <w:t>The reproducible-pipeline demo: one command rebuilds the whole report.</w:t>
      </w:r>
    </w:p>
    <w:p>
      <w:pPr>
        <w:spacing w:before="160" w:after="0"/>
        <w:shd w:val="clear" w:color="auto" w:fill="ECEEF2"/>
        <w:pBdr>
          <w:left w:val="single" w:sz="24" w:space="8" w:color="E9A23B"/>
        </w:pBdr>
      </w:pPr>
      <w:r>
        <w:rPr>
          <w:rFonts w:ascii="Calibri" w:hAnsi="Calibri"/>
          <w:b/>
          <w:i w:val="0"/>
          <w:color w:val="E9A23B"/>
          <w:sz w:val="22"/>
        </w:rPr>
        <w:t>Deliverable &amp; grading effort</w:t>
      </w:r>
    </w:p>
    <w:p>
      <w:pPr>
        <w:spacing w:before="0" w:after="40"/>
        <w:shd w:val="clear" w:color="auto" w:fill="ECEEF2"/>
        <w:pBdr>
          <w:left w:val="single" w:sz="24" w:space="8" w:color="E9A23B"/>
        </w:pBdr>
      </w:pPr>
      <w:r>
        <w:rPr>
          <w:rFonts w:ascii="Calibri" w:hAnsi="Calibri"/>
          <w:b w:val="0"/>
          <w:i w:val="0"/>
          <w:color w:val="222732"/>
          <w:sz w:val="21"/>
        </w:rPr>
        <w:t>Deliverable: Capstone report + presentation (30%); Capstone Lab · A reproducible pipeline: A reproducible pipeline.</w:t>
      </w:r>
    </w:p>
    <w:p>
      <w:pPr>
        <w:spacing w:before="0" w:after="40"/>
        <w:shd w:val="clear" w:color="auto" w:fill="ECEEF2"/>
        <w:pBdr>
          <w:left w:val="single" w:sz="24" w:space="8" w:color="E9A23B"/>
        </w:pBdr>
      </w:pPr>
      <w:r>
        <w:rPr>
          <w:rFonts w:ascii="Calibri" w:hAnsi="Calibri"/>
          <w:b w:val="0"/>
          <w:i w:val="0"/>
          <w:color w:val="222732"/>
          <w:sz w:val="21"/>
        </w:rPr>
        <w:t>Grading: Heaviest of the term — the CAPSTONE (30%) is report + presentation. Budget 30-45 min/student across the written report, the pipeline reproducibility check (clone and run one command), and the talk. Use a published rubric and reserve a grading window.</w:t>
      </w:r>
    </w:p>
    <w:p>
      <w:pPr>
        <w:spacing w:before="0" w:after="0"/>
      </w:pPr>
    </w:p>
    <w:p>
      <w:pPr>
        <w:spacing w:after="120"/>
      </w:pPr>
      <w:r>
        <w:rPr>
          <w:rFonts w:ascii="Calibri" w:hAnsi="Calibri"/>
          <w:b/>
          <w:i w:val="0"/>
          <w:color w:val="4E8C57"/>
          <w:sz w:val="22"/>
        </w:rPr>
        <w:t xml:space="preserve">If short on time:  </w:t>
      </w:r>
      <w:r>
        <w:rPr>
          <w:rFonts w:ascii="Calibri" w:hAnsi="Calibri"/>
          <w:b w:val="0"/>
          <w:i w:val="0"/>
          <w:color w:val="222732"/>
          <w:sz w:val="22"/>
        </w:rPr>
        <w:t>KEEP design justification, the pre-analysis plan, and the reproducibility check. Nothing here is safe to cut — instead, move robustness/multiverse depth into the rubric weighting.</w:t>
      </w:r>
    </w:p>
    <w:p>
      <w:pPr>
        <w:spacing w:before="320" w:after="80"/>
        <w:pBdr>
          <w:left w:val="single" w:sz="18" w:space="8" w:color="2F6DB5"/>
        </w:pBdr>
        <w:ind w:left="115"/>
      </w:pPr>
      <w:r>
        <w:rPr>
          <w:rFonts w:ascii="Calibri" w:hAnsi="Calibri"/>
          <w:b/>
          <w:i w:val="0"/>
          <w:color w:val="1F2A44"/>
          <w:sz w:val="32"/>
        </w:rPr>
        <w:t>Course-wide glossary</w:t>
      </w:r>
    </w:p>
    <w:p>
      <w:pPr>
        <w:spacing w:after="120"/>
      </w:pPr>
      <w:r>
        <w:rPr>
          <w:rFonts w:ascii="Calibri" w:hAnsi="Calibri"/>
          <w:b w:val="0"/>
          <w:i/>
          <w:color w:val="222732"/>
          <w:sz w:val="22"/>
        </w:rPr>
        <w:t>About 25 load-bearing terms, with the week each is introduced. Hand it out in Week 1 and tell students to expect every term to return.</w:t>
      </w:r>
    </w:p>
    <w:tbl>
      <w:tblPr>
        <w:tblStyle w:val="TableGrid"/>
        <w:tblW w:type="auto" w:w="0"/>
        <w:jc w:val="center"/>
        <w:tblLook w:firstColumn="1" w:firstRow="1" w:lastColumn="0" w:lastRow="0" w:noHBand="0" w:noVBand="1" w:val="04A0"/>
      </w:tblPr>
      <w:tblGrid>
        <w:gridCol w:w="4824"/>
        <w:gridCol w:w="4824"/>
      </w:tblGrid>
      <w:tr>
        <w:tc>
          <w:tcPr>
            <w:tcW w:type="dxa" w:w="4824"/>
            <w:shd w:val="clear" w:color="auto" w:fill="1F2A44"/>
          </w:tcPr>
          <w:p>
            <w:r>
              <w:rPr>
                <w:rFonts w:ascii="Calibri" w:hAnsi="Calibri"/>
                <w:b/>
                <w:i w:val="0"/>
                <w:color w:val="FFFFFF"/>
                <w:sz w:val="21"/>
              </w:rPr>
              <w:t>Term</w:t>
            </w:r>
          </w:p>
        </w:tc>
        <w:tc>
          <w:tcPr>
            <w:tcW w:type="dxa" w:w="4824"/>
            <w:shd w:val="clear" w:color="auto" w:fill="1F2A44"/>
          </w:tcPr>
          <w:p>
            <w:r>
              <w:rPr>
                <w:rFonts w:ascii="Calibri" w:hAnsi="Calibri"/>
                <w:b/>
                <w:i w:val="0"/>
                <w:color w:val="FFFFFF"/>
                <w:sz w:val="21"/>
              </w:rPr>
              <w:t>Definition (and where it lives)</w:t>
            </w:r>
          </w:p>
        </w:tc>
      </w:tr>
      <w:tr>
        <w:tc>
          <w:tcPr>
            <w:tcW w:type="dxa" w:w="4824"/>
          </w:tcPr>
          <w:p>
            <w:r>
              <w:rPr>
                <w:rFonts w:ascii="Calibri" w:hAnsi="Calibri"/>
                <w:b w:val="0"/>
                <w:i w:val="0"/>
                <w:color w:val="222732"/>
                <w:sz w:val="21"/>
              </w:rPr>
              <w:t>do-operator do(X)=x</w:t>
            </w:r>
          </w:p>
        </w:tc>
        <w:tc>
          <w:tcPr>
            <w:tcW w:type="dxa" w:w="4824"/>
          </w:tcPr>
          <w:p>
            <w:r>
              <w:rPr>
                <w:rFonts w:ascii="Calibri" w:hAnsi="Calibri"/>
                <w:b w:val="0"/>
                <w:i w:val="0"/>
                <w:color w:val="222732"/>
                <w:sz w:val="21"/>
              </w:rPr>
              <w:t>An intervention that SETS X to x, severing X's incoming causes. P(Y|do(X)) (what happens if we intervene) differs from P(Y|X) (what we observe) whenever confounding is present. Introduced Week 1.</w:t>
            </w:r>
          </w:p>
        </w:tc>
      </w:tr>
      <w:tr>
        <w:tc>
          <w:tcPr>
            <w:tcW w:type="dxa" w:w="4824"/>
            <w:shd w:val="clear" w:color="auto" w:fill="ECEEF2"/>
          </w:tcPr>
          <w:p>
            <w:r>
              <w:rPr>
                <w:rFonts w:ascii="Calibri" w:hAnsi="Calibri"/>
                <w:b w:val="0"/>
                <w:i w:val="0"/>
                <w:color w:val="222732"/>
                <w:sz w:val="21"/>
              </w:rPr>
              <w:t>Confounder</w:t>
            </w:r>
          </w:p>
        </w:tc>
        <w:tc>
          <w:tcPr>
            <w:tcW w:type="dxa" w:w="4824"/>
            <w:shd w:val="clear" w:color="auto" w:fill="ECEEF2"/>
          </w:tcPr>
          <w:p>
            <w:r>
              <w:rPr>
                <w:rFonts w:ascii="Calibri" w:hAnsi="Calibri"/>
                <w:b w:val="0"/>
                <w:i w:val="0"/>
                <w:color w:val="222732"/>
                <w:sz w:val="21"/>
              </w:rPr>
              <w:t>A common cause of treatment and outcome; an open back-door path. You SHOULD adjust for it. Weeks 1, 4, 5.</w:t>
            </w:r>
          </w:p>
        </w:tc>
      </w:tr>
      <w:tr>
        <w:tc>
          <w:tcPr>
            <w:tcW w:type="dxa" w:w="4824"/>
          </w:tcPr>
          <w:p>
            <w:r>
              <w:rPr>
                <w:rFonts w:ascii="Calibri" w:hAnsi="Calibri"/>
                <w:b w:val="0"/>
                <w:i w:val="0"/>
                <w:color w:val="222732"/>
                <w:sz w:val="21"/>
              </w:rPr>
              <w:t>Collider</w:t>
            </w:r>
          </w:p>
        </w:tc>
        <w:tc>
          <w:tcPr>
            <w:tcW w:type="dxa" w:w="4824"/>
          </w:tcPr>
          <w:p>
            <w:r>
              <w:rPr>
                <w:rFonts w:ascii="Calibri" w:hAnsi="Calibri"/>
                <w:b w:val="0"/>
                <w:i w:val="0"/>
                <w:color w:val="222732"/>
                <w:sz w:val="21"/>
              </w:rPr>
              <w:t>A common effect of two variables. Conditioning on it OPENS a spurious path — so you should NOT adjust for it (selection/M-bias). Weeks 1, 4.</w:t>
            </w:r>
          </w:p>
        </w:tc>
      </w:tr>
      <w:tr>
        <w:tc>
          <w:tcPr>
            <w:tcW w:type="dxa" w:w="4824"/>
            <w:shd w:val="clear" w:color="auto" w:fill="ECEEF2"/>
          </w:tcPr>
          <w:p>
            <w:r>
              <w:rPr>
                <w:rFonts w:ascii="Calibri" w:hAnsi="Calibri"/>
                <w:b w:val="0"/>
                <w:i w:val="0"/>
                <w:color w:val="222732"/>
                <w:sz w:val="21"/>
              </w:rPr>
              <w:t>Mediator</w:t>
            </w:r>
          </w:p>
        </w:tc>
        <w:tc>
          <w:tcPr>
            <w:tcW w:type="dxa" w:w="4824"/>
            <w:shd w:val="clear" w:color="auto" w:fill="ECEEF2"/>
          </w:tcPr>
          <w:p>
            <w:r>
              <w:rPr>
                <w:rFonts w:ascii="Calibri" w:hAnsi="Calibri"/>
                <w:b w:val="0"/>
                <w:i w:val="0"/>
                <w:color w:val="222732"/>
                <w:sz w:val="21"/>
              </w:rPr>
              <w:t>A variable on the causal path from treatment to outcome. Adjusting for it blocks the indirect effect and biases the TOTAL effect. Weeks 1, 5, 14.</w:t>
            </w:r>
          </w:p>
        </w:tc>
      </w:tr>
      <w:tr>
        <w:tc>
          <w:tcPr>
            <w:tcW w:type="dxa" w:w="4824"/>
          </w:tcPr>
          <w:p>
            <w:r>
              <w:rPr>
                <w:rFonts w:ascii="Calibri" w:hAnsi="Calibri"/>
                <w:b w:val="0"/>
                <w:i w:val="0"/>
                <w:color w:val="222732"/>
                <w:sz w:val="21"/>
              </w:rPr>
              <w:t>SUTVA</w:t>
            </w:r>
          </w:p>
        </w:tc>
        <w:tc>
          <w:tcPr>
            <w:tcW w:type="dxa" w:w="4824"/>
          </w:tcPr>
          <w:p>
            <w:r>
              <w:rPr>
                <w:rFonts w:ascii="Calibri" w:hAnsi="Calibri"/>
                <w:b w:val="0"/>
                <w:i w:val="0"/>
                <w:color w:val="222732"/>
                <w:sz w:val="21"/>
              </w:rPr>
              <w:t>Stable Unit Treatment Value Assumption: one unit's outcome is unaffected by others' treatment (no interference) and there is a single version of treatment. Week 2; violated by interference, Week 3.</w:t>
            </w:r>
          </w:p>
        </w:tc>
      </w:tr>
      <w:tr>
        <w:tc>
          <w:tcPr>
            <w:tcW w:type="dxa" w:w="4824"/>
            <w:shd w:val="clear" w:color="auto" w:fill="ECEEF2"/>
          </w:tcPr>
          <w:p>
            <w:r>
              <w:rPr>
                <w:rFonts w:ascii="Calibri" w:hAnsi="Calibri"/>
                <w:b w:val="0"/>
                <w:i w:val="0"/>
                <w:color w:val="222732"/>
                <w:sz w:val="21"/>
              </w:rPr>
              <w:t>Consistency</w:t>
            </w:r>
          </w:p>
        </w:tc>
        <w:tc>
          <w:tcPr>
            <w:tcW w:type="dxa" w:w="4824"/>
            <w:shd w:val="clear" w:color="auto" w:fill="ECEEF2"/>
          </w:tcPr>
          <w:p>
            <w:r>
              <w:rPr>
                <w:rFonts w:ascii="Calibri" w:hAnsi="Calibri"/>
                <w:b w:val="0"/>
                <w:i w:val="0"/>
                <w:color w:val="222732"/>
                <w:sz w:val="21"/>
              </w:rPr>
              <w:t>The observed outcome under the treatment actually received equals that unit's potential outcome for that treatment. Needs a well-defined intervention. Week 2.</w:t>
            </w:r>
          </w:p>
        </w:tc>
      </w:tr>
      <w:tr>
        <w:tc>
          <w:tcPr>
            <w:tcW w:type="dxa" w:w="4824"/>
          </w:tcPr>
          <w:p>
            <w:r>
              <w:rPr>
                <w:rFonts w:ascii="Calibri" w:hAnsi="Calibri"/>
                <w:b w:val="0"/>
                <w:i w:val="0"/>
                <w:color w:val="222732"/>
                <w:sz w:val="21"/>
              </w:rPr>
              <w:t>Exchangeability</w:t>
            </w:r>
          </w:p>
        </w:tc>
        <w:tc>
          <w:tcPr>
            <w:tcW w:type="dxa" w:w="4824"/>
          </w:tcPr>
          <w:p>
            <w:r>
              <w:rPr>
                <w:rFonts w:ascii="Calibri" w:hAnsi="Calibri"/>
                <w:b w:val="0"/>
                <w:i w:val="0"/>
                <w:color w:val="222732"/>
                <w:sz w:val="21"/>
              </w:rPr>
              <w:t>(Conditional) independence of treatment and the potential outcomes given covariates: no unmeasured confounding. Randomization buys it unconditionally. Week 2.</w:t>
            </w:r>
          </w:p>
        </w:tc>
      </w:tr>
      <w:tr>
        <w:tc>
          <w:tcPr>
            <w:tcW w:type="dxa" w:w="4824"/>
            <w:shd w:val="clear" w:color="auto" w:fill="ECEEF2"/>
          </w:tcPr>
          <w:p>
            <w:r>
              <w:rPr>
                <w:rFonts w:ascii="Calibri" w:hAnsi="Calibri"/>
                <w:b w:val="0"/>
                <w:i w:val="0"/>
                <w:color w:val="222732"/>
                <w:sz w:val="21"/>
              </w:rPr>
              <w:t>Positivity / overlap</w:t>
            </w:r>
          </w:p>
        </w:tc>
        <w:tc>
          <w:tcPr>
            <w:tcW w:type="dxa" w:w="4824"/>
            <w:shd w:val="clear" w:color="auto" w:fill="ECEEF2"/>
          </w:tcPr>
          <w:p>
            <w:r>
              <w:rPr>
                <w:rFonts w:ascii="Calibri" w:hAnsi="Calibri"/>
                <w:b w:val="0"/>
                <w:i w:val="0"/>
                <w:color w:val="222732"/>
                <w:sz w:val="21"/>
              </w:rPr>
              <w:t>Every covariate stratum has a nonzero probability of each treatment, so comparisons exist. Near-violations show up as extreme weights. Weeks 2, 6, 7.</w:t>
            </w:r>
          </w:p>
        </w:tc>
      </w:tr>
      <w:tr>
        <w:tc>
          <w:tcPr>
            <w:tcW w:type="dxa" w:w="4824"/>
          </w:tcPr>
          <w:p>
            <w:r>
              <w:rPr>
                <w:rFonts w:ascii="Calibri" w:hAnsi="Calibri"/>
                <w:b w:val="0"/>
                <w:i w:val="0"/>
                <w:color w:val="222732"/>
                <w:sz w:val="21"/>
              </w:rPr>
              <w:t>ATE</w:t>
            </w:r>
          </w:p>
        </w:tc>
        <w:tc>
          <w:tcPr>
            <w:tcW w:type="dxa" w:w="4824"/>
          </w:tcPr>
          <w:p>
            <w:r>
              <w:rPr>
                <w:rFonts w:ascii="Calibri" w:hAnsi="Calibri"/>
                <w:b w:val="0"/>
                <w:i w:val="0"/>
                <w:color w:val="222732"/>
                <w:sz w:val="21"/>
              </w:rPr>
              <w:t>Average Treatment Effect, E[Y(1)-Y(0)] over the whole population. Week 2.</w:t>
            </w:r>
          </w:p>
        </w:tc>
      </w:tr>
      <w:tr>
        <w:tc>
          <w:tcPr>
            <w:tcW w:type="dxa" w:w="4824"/>
            <w:shd w:val="clear" w:color="auto" w:fill="ECEEF2"/>
          </w:tcPr>
          <w:p>
            <w:r>
              <w:rPr>
                <w:rFonts w:ascii="Calibri" w:hAnsi="Calibri"/>
                <w:b w:val="0"/>
                <w:i w:val="0"/>
                <w:color w:val="222732"/>
                <w:sz w:val="21"/>
              </w:rPr>
              <w:t>ATT</w:t>
            </w:r>
          </w:p>
        </w:tc>
        <w:tc>
          <w:tcPr>
            <w:tcW w:type="dxa" w:w="4824"/>
            <w:shd w:val="clear" w:color="auto" w:fill="ECEEF2"/>
          </w:tcPr>
          <w:p>
            <w:r>
              <w:rPr>
                <w:rFonts w:ascii="Calibri" w:hAnsi="Calibri"/>
                <w:b w:val="0"/>
                <w:i w:val="0"/>
                <w:color w:val="222732"/>
                <w:sz w:val="21"/>
              </w:rPr>
              <w:t>Average Treatment effect on the Treated, E[Y(1)-Y(0)|D=1]. The natural target of matching. Weeks 2, 6.</w:t>
            </w:r>
          </w:p>
        </w:tc>
      </w:tr>
      <w:tr>
        <w:tc>
          <w:tcPr>
            <w:tcW w:type="dxa" w:w="4824"/>
          </w:tcPr>
          <w:p>
            <w:r>
              <w:rPr>
                <w:rFonts w:ascii="Calibri" w:hAnsi="Calibri"/>
                <w:b w:val="0"/>
                <w:i w:val="0"/>
                <w:color w:val="222732"/>
                <w:sz w:val="21"/>
              </w:rPr>
              <w:t>CATE</w:t>
            </w:r>
          </w:p>
        </w:tc>
        <w:tc>
          <w:tcPr>
            <w:tcW w:type="dxa" w:w="4824"/>
          </w:tcPr>
          <w:p>
            <w:r>
              <w:rPr>
                <w:rFonts w:ascii="Calibri" w:hAnsi="Calibri"/>
                <w:b w:val="0"/>
                <w:i w:val="0"/>
                <w:color w:val="222732"/>
                <w:sz w:val="21"/>
              </w:rPr>
              <w:t>Conditional Average Treatment Effect tau(x)=E[Y(1)-Y(0)|X=x] — the effect 'for whom'. Weeks 2, 13.</w:t>
            </w:r>
          </w:p>
        </w:tc>
      </w:tr>
      <w:tr>
        <w:tc>
          <w:tcPr>
            <w:tcW w:type="dxa" w:w="4824"/>
            <w:shd w:val="clear" w:color="auto" w:fill="ECEEF2"/>
          </w:tcPr>
          <w:p>
            <w:r>
              <w:rPr>
                <w:rFonts w:ascii="Calibri" w:hAnsi="Calibri"/>
                <w:b w:val="0"/>
                <w:i w:val="0"/>
                <w:color w:val="222732"/>
                <w:sz w:val="21"/>
              </w:rPr>
              <w:t>LATE</w:t>
            </w:r>
          </w:p>
        </w:tc>
        <w:tc>
          <w:tcPr>
            <w:tcW w:type="dxa" w:w="4824"/>
            <w:shd w:val="clear" w:color="auto" w:fill="ECEEF2"/>
          </w:tcPr>
          <w:p>
            <w:r>
              <w:rPr>
                <w:rFonts w:ascii="Calibri" w:hAnsi="Calibri"/>
                <w:b w:val="0"/>
                <w:i w:val="0"/>
                <w:color w:val="222732"/>
                <w:sz w:val="21"/>
              </w:rPr>
              <w:t>Local Average Treatment Effect: the effect for COMPLIERS — units an instrument actually moves. What IV (and fuzzy RD) identify. Weeks 8, 9.</w:t>
            </w:r>
          </w:p>
        </w:tc>
      </w:tr>
      <w:tr>
        <w:tc>
          <w:tcPr>
            <w:tcW w:type="dxa" w:w="4824"/>
          </w:tcPr>
          <w:p>
            <w:r>
              <w:rPr>
                <w:rFonts w:ascii="Calibri" w:hAnsi="Calibri"/>
                <w:b w:val="0"/>
                <w:i w:val="0"/>
                <w:color w:val="222732"/>
                <w:sz w:val="21"/>
              </w:rPr>
              <w:t>Propensity score e(X)</w:t>
            </w:r>
          </w:p>
        </w:tc>
        <w:tc>
          <w:tcPr>
            <w:tcW w:type="dxa" w:w="4824"/>
          </w:tcPr>
          <w:p>
            <w:r>
              <w:rPr>
                <w:rFonts w:ascii="Calibri" w:hAnsi="Calibri"/>
                <w:b w:val="0"/>
                <w:i w:val="0"/>
                <w:color w:val="222732"/>
                <w:sz w:val="21"/>
              </w:rPr>
              <w:t>P(D=1|X), the probability of treatment given covariates. A balancing score: conditioning on it removes covariate-induced confounding. Weeks 6, 7.</w:t>
            </w:r>
          </w:p>
        </w:tc>
      </w:tr>
      <w:tr>
        <w:tc>
          <w:tcPr>
            <w:tcW w:type="dxa" w:w="4824"/>
            <w:shd w:val="clear" w:color="auto" w:fill="ECEEF2"/>
          </w:tcPr>
          <w:p>
            <w:r>
              <w:rPr>
                <w:rFonts w:ascii="Calibri" w:hAnsi="Calibri"/>
                <w:b w:val="0"/>
                <w:i w:val="0"/>
                <w:color w:val="222732"/>
                <w:sz w:val="21"/>
              </w:rPr>
              <w:t>IPW</w:t>
            </w:r>
          </w:p>
        </w:tc>
        <w:tc>
          <w:tcPr>
            <w:tcW w:type="dxa" w:w="4824"/>
            <w:shd w:val="clear" w:color="auto" w:fill="ECEEF2"/>
          </w:tcPr>
          <w:p>
            <w:r>
              <w:rPr>
                <w:rFonts w:ascii="Calibri" w:hAnsi="Calibri"/>
                <w:b w:val="0"/>
                <w:i w:val="0"/>
                <w:color w:val="222732"/>
                <w:sz w:val="21"/>
              </w:rPr>
              <w:t>Inverse-Probability Weighting: weight units by 1/P(observed treatment|X) to build a pseudo-population in which treatment is unconfounded. Week 7.</w:t>
            </w:r>
          </w:p>
        </w:tc>
      </w:tr>
      <w:tr>
        <w:tc>
          <w:tcPr>
            <w:tcW w:type="dxa" w:w="4824"/>
          </w:tcPr>
          <w:p>
            <w:r>
              <w:rPr>
                <w:rFonts w:ascii="Calibri" w:hAnsi="Calibri"/>
                <w:b w:val="0"/>
                <w:i w:val="0"/>
                <w:color w:val="222732"/>
                <w:sz w:val="21"/>
              </w:rPr>
              <w:t>Doubly robust (AIPW)</w:t>
            </w:r>
          </w:p>
        </w:tc>
        <w:tc>
          <w:tcPr>
            <w:tcW w:type="dxa" w:w="4824"/>
          </w:tcPr>
          <w:p>
            <w:r>
              <w:rPr>
                <w:rFonts w:ascii="Calibri" w:hAnsi="Calibri"/>
                <w:b w:val="0"/>
                <w:i w:val="0"/>
                <w:color w:val="222732"/>
                <w:sz w:val="21"/>
              </w:rPr>
              <w:t>An estimator combining a propensity model and an outcome model that is consistent if EITHER one is correct. Weeks 7, 12.</w:t>
            </w:r>
          </w:p>
        </w:tc>
      </w:tr>
      <w:tr>
        <w:tc>
          <w:tcPr>
            <w:tcW w:type="dxa" w:w="4824"/>
            <w:shd w:val="clear" w:color="auto" w:fill="ECEEF2"/>
          </w:tcPr>
          <w:p>
            <w:r>
              <w:rPr>
                <w:rFonts w:ascii="Calibri" w:hAnsi="Calibri"/>
                <w:b w:val="0"/>
                <w:i w:val="0"/>
                <w:color w:val="222732"/>
                <w:sz w:val="21"/>
              </w:rPr>
              <w:t>Instrument</w:t>
            </w:r>
          </w:p>
        </w:tc>
        <w:tc>
          <w:tcPr>
            <w:tcW w:type="dxa" w:w="4824"/>
            <w:shd w:val="clear" w:color="auto" w:fill="ECEEF2"/>
          </w:tcPr>
          <w:p>
            <w:r>
              <w:rPr>
                <w:rFonts w:ascii="Calibri" w:hAnsi="Calibri"/>
                <w:b w:val="0"/>
                <w:i w:val="0"/>
                <w:color w:val="222732"/>
                <w:sz w:val="21"/>
              </w:rPr>
              <w:t>A variable that moves treatment but affects the outcome only through treatment, even under unmeasured confounding. Week 8.</w:t>
            </w:r>
          </w:p>
        </w:tc>
      </w:tr>
      <w:tr>
        <w:tc>
          <w:tcPr>
            <w:tcW w:type="dxa" w:w="4824"/>
          </w:tcPr>
          <w:p>
            <w:r>
              <w:rPr>
                <w:rFonts w:ascii="Calibri" w:hAnsi="Calibri"/>
                <w:b w:val="0"/>
                <w:i w:val="0"/>
                <w:color w:val="222732"/>
                <w:sz w:val="21"/>
              </w:rPr>
              <w:t>Exclusion restriction</w:t>
            </w:r>
          </w:p>
        </w:tc>
        <w:tc>
          <w:tcPr>
            <w:tcW w:type="dxa" w:w="4824"/>
          </w:tcPr>
          <w:p>
            <w:r>
              <w:rPr>
                <w:rFonts w:ascii="Calibri" w:hAnsi="Calibri"/>
                <w:b w:val="0"/>
                <w:i w:val="0"/>
                <w:color w:val="222732"/>
                <w:sz w:val="21"/>
              </w:rPr>
              <w:t>The IV assumption that the instrument affects the outcome ONLY through treatment. Untestable; defended by argument. Threatened by pleiotropy in MR. Week 8.</w:t>
            </w:r>
          </w:p>
        </w:tc>
      </w:tr>
      <w:tr>
        <w:tc>
          <w:tcPr>
            <w:tcW w:type="dxa" w:w="4824"/>
            <w:shd w:val="clear" w:color="auto" w:fill="ECEEF2"/>
          </w:tcPr>
          <w:p>
            <w:r>
              <w:rPr>
                <w:rFonts w:ascii="Calibri" w:hAnsi="Calibri"/>
                <w:b w:val="0"/>
                <w:i w:val="0"/>
                <w:color w:val="222732"/>
                <w:sz w:val="21"/>
              </w:rPr>
              <w:t>Compliers</w:t>
            </w:r>
          </w:p>
        </w:tc>
        <w:tc>
          <w:tcPr>
            <w:tcW w:type="dxa" w:w="4824"/>
            <w:shd w:val="clear" w:color="auto" w:fill="ECEEF2"/>
          </w:tcPr>
          <w:p>
            <w:r>
              <w:rPr>
                <w:rFonts w:ascii="Calibri" w:hAnsi="Calibri"/>
                <w:b w:val="0"/>
                <w:i w:val="0"/>
                <w:color w:val="222732"/>
                <w:sz w:val="21"/>
              </w:rPr>
              <w:t>Units whose treatment status responds to the instrument (under monotonicity). LATE is their effect. Week 8.</w:t>
            </w:r>
          </w:p>
        </w:tc>
      </w:tr>
      <w:tr>
        <w:tc>
          <w:tcPr>
            <w:tcW w:type="dxa" w:w="4824"/>
          </w:tcPr>
          <w:p>
            <w:r>
              <w:rPr>
                <w:rFonts w:ascii="Calibri" w:hAnsi="Calibri"/>
                <w:b w:val="0"/>
                <w:i w:val="0"/>
                <w:color w:val="222732"/>
                <w:sz w:val="21"/>
              </w:rPr>
              <w:t>Regression discontinuity (RD)</w:t>
            </w:r>
          </w:p>
        </w:tc>
        <w:tc>
          <w:tcPr>
            <w:tcW w:type="dxa" w:w="4824"/>
          </w:tcPr>
          <w:p>
            <w:r>
              <w:rPr>
                <w:rFonts w:ascii="Calibri" w:hAnsi="Calibri"/>
                <w:b w:val="0"/>
                <w:i w:val="0"/>
                <w:color w:val="222732"/>
                <w:sz w:val="21"/>
              </w:rPr>
              <w:t>A design where treatment switches at a cutoff on a running variable; the jump in the outcome at the cutoff is a LOCAL effect. Week 9.</w:t>
            </w:r>
          </w:p>
        </w:tc>
      </w:tr>
      <w:tr>
        <w:tc>
          <w:tcPr>
            <w:tcW w:type="dxa" w:w="4824"/>
            <w:shd w:val="clear" w:color="auto" w:fill="ECEEF2"/>
          </w:tcPr>
          <w:p>
            <w:r>
              <w:rPr>
                <w:rFonts w:ascii="Calibri" w:hAnsi="Calibri"/>
                <w:b w:val="0"/>
                <w:i w:val="0"/>
                <w:color w:val="222732"/>
                <w:sz w:val="21"/>
              </w:rPr>
              <w:t>Parallel trends</w:t>
            </w:r>
          </w:p>
        </w:tc>
        <w:tc>
          <w:tcPr>
            <w:tcW w:type="dxa" w:w="4824"/>
            <w:shd w:val="clear" w:color="auto" w:fill="ECEEF2"/>
          </w:tcPr>
          <w:p>
            <w:r>
              <w:rPr>
                <w:rFonts w:ascii="Calibri" w:hAnsi="Calibri"/>
                <w:b w:val="0"/>
                <w:i w:val="0"/>
                <w:color w:val="222732"/>
                <w:sz w:val="21"/>
              </w:rPr>
              <w:t>The DiD identifying assumption: absent treatment, treated and control groups would have moved on the same trend. Untestable for the counterfactual; pre-trends are only suggestive. Week 10.</w:t>
            </w:r>
          </w:p>
        </w:tc>
      </w:tr>
      <w:tr>
        <w:tc>
          <w:tcPr>
            <w:tcW w:type="dxa" w:w="4824"/>
          </w:tcPr>
          <w:p>
            <w:r>
              <w:rPr>
                <w:rFonts w:ascii="Calibri" w:hAnsi="Calibri"/>
                <w:b w:val="0"/>
                <w:i w:val="0"/>
                <w:color w:val="222732"/>
                <w:sz w:val="21"/>
              </w:rPr>
              <w:t>TWFE</w:t>
            </w:r>
          </w:p>
        </w:tc>
        <w:tc>
          <w:tcPr>
            <w:tcW w:type="dxa" w:w="4824"/>
          </w:tcPr>
          <w:p>
            <w:r>
              <w:rPr>
                <w:rFonts w:ascii="Calibri" w:hAnsi="Calibri"/>
                <w:b w:val="0"/>
                <w:i w:val="0"/>
                <w:color w:val="222732"/>
                <w:sz w:val="21"/>
              </w:rPr>
              <w:t>Two-Way Fixed Effects regression (unit + time dummies). Equivalent to DiD in the 2x2 case but biased under staggered adoption with heterogeneous effects (negative weights). Week 10.</w:t>
            </w:r>
          </w:p>
        </w:tc>
      </w:tr>
      <w:tr>
        <w:tc>
          <w:tcPr>
            <w:tcW w:type="dxa" w:w="4824"/>
            <w:shd w:val="clear" w:color="auto" w:fill="ECEEF2"/>
          </w:tcPr>
          <w:p>
            <w:r>
              <w:rPr>
                <w:rFonts w:ascii="Calibri" w:hAnsi="Calibri"/>
                <w:b w:val="0"/>
                <w:i w:val="0"/>
                <w:color w:val="222732"/>
                <w:sz w:val="21"/>
              </w:rPr>
              <w:t>Synthetic control</w:t>
            </w:r>
          </w:p>
        </w:tc>
        <w:tc>
          <w:tcPr>
            <w:tcW w:type="dxa" w:w="4824"/>
            <w:shd w:val="clear" w:color="auto" w:fill="ECEEF2"/>
          </w:tcPr>
          <w:p>
            <w:r>
              <w:rPr>
                <w:rFonts w:ascii="Calibri" w:hAnsi="Calibri"/>
                <w:b w:val="0"/>
                <w:i w:val="0"/>
                <w:color w:val="222732"/>
                <w:sz w:val="21"/>
              </w:rPr>
              <w:t>A weighted (convex) blend of untreated donor units chosen to match a single treated unit's pre-treatment path; its continuation is the counterfactual. Week 11.</w:t>
            </w:r>
          </w:p>
        </w:tc>
      </w:tr>
      <w:tr>
        <w:tc>
          <w:tcPr>
            <w:tcW w:type="dxa" w:w="4824"/>
          </w:tcPr>
          <w:p>
            <w:r>
              <w:rPr>
                <w:rFonts w:ascii="Calibri" w:hAnsi="Calibri"/>
                <w:b w:val="0"/>
                <w:i w:val="0"/>
                <w:color w:val="222732"/>
                <w:sz w:val="21"/>
              </w:rPr>
              <w:t>Neyman orthogonality</w:t>
            </w:r>
          </w:p>
        </w:tc>
        <w:tc>
          <w:tcPr>
            <w:tcW w:type="dxa" w:w="4824"/>
          </w:tcPr>
          <w:p>
            <w:r>
              <w:rPr>
                <w:rFonts w:ascii="Calibri" w:hAnsi="Calibri"/>
                <w:b w:val="0"/>
                <w:i w:val="0"/>
                <w:color w:val="222732"/>
                <w:sz w:val="21"/>
              </w:rPr>
              <w:t>A score whose estimating equation is first-order insensitive to small nuisance-estimation errors, so ML/regularization bias does not leak into the effect estimate. Week 12.</w:t>
            </w:r>
          </w:p>
        </w:tc>
      </w:tr>
      <w:tr>
        <w:tc>
          <w:tcPr>
            <w:tcW w:type="dxa" w:w="4824"/>
            <w:shd w:val="clear" w:color="auto" w:fill="ECEEF2"/>
          </w:tcPr>
          <w:p>
            <w:r>
              <w:rPr>
                <w:rFonts w:ascii="Calibri" w:hAnsi="Calibri"/>
                <w:b w:val="0"/>
                <w:i w:val="0"/>
                <w:color w:val="222732"/>
                <w:sz w:val="21"/>
              </w:rPr>
              <w:t>Cross-fitting</w:t>
            </w:r>
          </w:p>
        </w:tc>
        <w:tc>
          <w:tcPr>
            <w:tcW w:type="dxa" w:w="4824"/>
            <w:shd w:val="clear" w:color="auto" w:fill="ECEEF2"/>
          </w:tcPr>
          <w:p>
            <w:r>
              <w:rPr>
                <w:rFonts w:ascii="Calibri" w:hAnsi="Calibri"/>
                <w:b w:val="0"/>
                <w:i w:val="0"/>
                <w:color w:val="222732"/>
                <w:sz w:val="21"/>
              </w:rPr>
              <w:t>Sample-splitting in DML: estimate nuisance functions on one fold and the effect on another (then swap and average) to remove overfitting bias. Week 12.</w:t>
            </w:r>
          </w:p>
        </w:tc>
      </w:tr>
      <w:tr>
        <w:tc>
          <w:tcPr>
            <w:tcW w:type="dxa" w:w="4824"/>
          </w:tcPr>
          <w:p>
            <w:r>
              <w:rPr>
                <w:rFonts w:ascii="Calibri" w:hAnsi="Calibri"/>
                <w:b w:val="0"/>
                <w:i w:val="0"/>
                <w:color w:val="222732"/>
                <w:sz w:val="21"/>
              </w:rPr>
              <w:t>E-value</w:t>
            </w:r>
          </w:p>
        </w:tc>
        <w:tc>
          <w:tcPr>
            <w:tcW w:type="dxa" w:w="4824"/>
          </w:tcPr>
          <w:p>
            <w:r>
              <w:rPr>
                <w:rFonts w:ascii="Calibri" w:hAnsi="Calibri"/>
                <w:b w:val="0"/>
                <w:i w:val="0"/>
                <w:color w:val="222732"/>
                <w:sz w:val="21"/>
              </w:rPr>
              <w:t>The minimum strength of association an unmeasured confounder would need (with both treatment and outcome) to fully explain away an observed effect — a sensitivity statement. Week 14.</w:t>
            </w:r>
          </w:p>
        </w:tc>
      </w:tr>
      <w:tr>
        <w:tc>
          <w:tcPr>
            <w:tcW w:type="dxa" w:w="4824"/>
            <w:shd w:val="clear" w:color="auto" w:fill="ECEEF2"/>
          </w:tcPr>
          <w:p>
            <w:r>
              <w:rPr>
                <w:rFonts w:ascii="Calibri" w:hAnsi="Calibri"/>
                <w:b w:val="0"/>
                <w:i w:val="0"/>
                <w:color w:val="222732"/>
                <w:sz w:val="21"/>
              </w:rPr>
              <w:t>g-formula</w:t>
            </w:r>
          </w:p>
        </w:tc>
        <w:tc>
          <w:tcPr>
            <w:tcW w:type="dxa" w:w="4824"/>
            <w:shd w:val="clear" w:color="auto" w:fill="ECEEF2"/>
          </w:tcPr>
          <w:p>
            <w:r>
              <w:rPr>
                <w:rFonts w:ascii="Calibri" w:hAnsi="Calibri"/>
                <w:b w:val="0"/>
                <w:i w:val="0"/>
                <w:color w:val="222732"/>
                <w:sz w:val="21"/>
              </w:rPr>
              <w:t>Standardization over the covariate distribution to identify an effect; the repair for time-varying confounding affected by prior treatment, where ordinary regression fails. Week 14.</w:t>
            </w:r>
          </w:p>
        </w:tc>
      </w:tr>
      <w:tr>
        <w:tc>
          <w:tcPr>
            <w:tcW w:type="dxa" w:w="4824"/>
          </w:tcPr>
          <w:p>
            <w:r>
              <w:rPr>
                <w:rFonts w:ascii="Calibri" w:hAnsi="Calibri"/>
                <w:b w:val="0"/>
                <w:i w:val="0"/>
                <w:color w:val="222732"/>
                <w:sz w:val="21"/>
              </w:rPr>
              <w:t>Transportability</w:t>
            </w:r>
          </w:p>
        </w:tc>
        <w:tc>
          <w:tcPr>
            <w:tcW w:type="dxa" w:w="4824"/>
          </w:tcPr>
          <w:p>
            <w:r>
              <w:rPr>
                <w:rFonts w:ascii="Calibri" w:hAnsi="Calibri"/>
                <w:b w:val="0"/>
                <w:i w:val="0"/>
                <w:color w:val="222732"/>
                <w:sz w:val="21"/>
              </w:rPr>
              <w:t>The conditions under which an effect estimated in one population carries over to a different target population. Week 14.</w:t>
            </w:r>
          </w:p>
        </w:tc>
      </w:tr>
    </w:tbl>
    <w:p>
      <w:pPr>
        <w:spacing w:after="40"/>
      </w:pPr>
    </w:p>
    <w:p>
      <w:pPr>
        <w:spacing w:before="320" w:after="80"/>
        <w:pBdr>
          <w:left w:val="single" w:sz="18" w:space="8" w:color="2F6DB5"/>
        </w:pBdr>
        <w:ind w:left="115"/>
      </w:pPr>
      <w:r>
        <w:rPr>
          <w:rFonts w:ascii="Calibri" w:hAnsi="Calibri"/>
          <w:b/>
          <w:i w:val="0"/>
          <w:color w:val="1F2A44"/>
          <w:sz w:val="32"/>
        </w:rPr>
        <w:t>Pacing &amp; exam map</w:t>
      </w:r>
    </w:p>
    <w:p>
      <w:pPr>
        <w:spacing w:before="200" w:after="40"/>
      </w:pPr>
      <w:r>
        <w:rPr>
          <w:rFonts w:ascii="Calibri" w:hAnsi="Calibri"/>
          <w:b/>
          <w:i w:val="0"/>
          <w:color w:val="2F6DB5"/>
          <w:sz w:val="26"/>
        </w:rPr>
        <w:t>What the assessments draw on</w:t>
      </w:r>
    </w:p>
    <w:p>
      <w:pPr>
        <w:spacing w:before="160" w:after="0"/>
        <w:shd w:val="clear" w:color="auto" w:fill="ECEEF2"/>
        <w:pBdr>
          <w:left w:val="single" w:sz="24" w:space="8" w:color="2F6DB5"/>
        </w:pBdr>
      </w:pPr>
      <w:r>
        <w:rPr>
          <w:rFonts w:ascii="Calibri" w:hAnsi="Calibri"/>
          <w:b/>
          <w:i w:val="0"/>
          <w:color w:val="2F6DB5"/>
          <w:sz w:val="22"/>
        </w:rPr>
        <w:t>Midterm (Week 8) — covers Weeks 1-7</w:t>
      </w:r>
    </w:p>
    <w:p>
      <w:pPr>
        <w:spacing w:before="0" w:after="40"/>
        <w:shd w:val="clear" w:color="auto" w:fill="ECEEF2"/>
        <w:pBdr>
          <w:left w:val="single" w:sz="24" w:space="8" w:color="2F6DB5"/>
        </w:pBdr>
      </w:pPr>
      <w:r>
        <w:rPr>
          <w:rFonts w:ascii="Calibri" w:hAnsi="Calibri"/>
          <w:b w:val="0"/>
          <w:i w:val="0"/>
          <w:color w:val="222732"/>
          <w:sz w:val="21"/>
        </w:rPr>
        <w:t>Foundations (Wk 1-4): the causal question, potential outcomes &amp; estimands, randomized experiments, DAGs / d-separation.</w:t>
      </w:r>
    </w:p>
    <w:p>
      <w:pPr>
        <w:spacing w:before="0" w:after="40"/>
        <w:shd w:val="clear" w:color="auto" w:fill="ECEEF2"/>
        <w:pBdr>
          <w:left w:val="single" w:sz="24" w:space="8" w:color="2F6DB5"/>
        </w:pBdr>
      </w:pPr>
      <w:r>
        <w:rPr>
          <w:rFonts w:ascii="Calibri" w:hAnsi="Calibri"/>
          <w:b w:val="0"/>
          <w:i w:val="0"/>
          <w:color w:val="222732"/>
          <w:sz w:val="21"/>
        </w:rPr>
        <w:t>Adjustment for confounding (Wk 5-7): regression &amp; good-vs-bad controls, matching &amp; propensity scores, IPW &amp; doubly robust estimation.</w:t>
      </w:r>
    </w:p>
    <w:p>
      <w:pPr>
        <w:spacing w:before="0" w:after="40"/>
        <w:shd w:val="clear" w:color="auto" w:fill="ECEEF2"/>
        <w:pBdr>
          <w:left w:val="single" w:sz="24" w:space="8" w:color="2F6DB5"/>
        </w:pBdr>
      </w:pPr>
      <w:r>
        <w:rPr>
          <w:rFonts w:ascii="Calibri" w:hAnsi="Calibri"/>
          <w:b w:val="0"/>
          <w:i w:val="0"/>
          <w:color w:val="222732"/>
          <w:sz w:val="21"/>
        </w:rPr>
        <w:t>Skills tested: write an estimand; pick a valid adjustment set off a DAG; classify controls; reason about positivity and double robustness.</w:t>
      </w:r>
    </w:p>
    <w:p>
      <w:pPr>
        <w:spacing w:before="0" w:after="40"/>
        <w:shd w:val="clear" w:color="auto" w:fill="ECEEF2"/>
        <w:pBdr>
          <w:left w:val="single" w:sz="24" w:space="8" w:color="2F6DB5"/>
        </w:pBdr>
      </w:pPr>
      <w:r>
        <w:rPr>
          <w:rFonts w:ascii="Calibri" w:hAnsi="Calibri"/>
          <w:b w:val="0"/>
          <w:i w:val="0"/>
          <w:color w:val="222732"/>
          <w:sz w:val="21"/>
        </w:rPr>
        <w:t>Not on it: IV/RD/DiD/SC/DML/CATE — those belong to Blocks III-IV and the capstone.</w:t>
      </w:r>
    </w:p>
    <w:p>
      <w:pPr>
        <w:spacing w:before="0" w:after="0"/>
      </w:pPr>
    </w:p>
    <w:p>
      <w:pPr>
        <w:spacing w:before="160" w:after="0"/>
        <w:shd w:val="clear" w:color="auto" w:fill="ECEEF2"/>
        <w:pBdr>
          <w:left w:val="single" w:sz="24" w:space="8" w:color="2A9D8F"/>
        </w:pBdr>
      </w:pPr>
      <w:r>
        <w:rPr>
          <w:rFonts w:ascii="Calibri" w:hAnsi="Calibri"/>
          <w:b/>
          <w:i w:val="0"/>
          <w:color w:val="2A9D8F"/>
          <w:sz w:val="22"/>
        </w:rPr>
        <w:t>Capstone (Week 15) — can draw on any week, but leans on</w:t>
      </w:r>
    </w:p>
    <w:p>
      <w:pPr>
        <w:spacing w:before="0" w:after="40"/>
        <w:shd w:val="clear" w:color="auto" w:fill="ECEEF2"/>
        <w:pBdr>
          <w:left w:val="single" w:sz="24" w:space="8" w:color="2A9D8F"/>
        </w:pBdr>
      </w:pPr>
      <w:r>
        <w:rPr>
          <w:rFonts w:ascii="Calibri" w:hAnsi="Calibri"/>
          <w:b w:val="0"/>
          <w:i w:val="0"/>
          <w:color w:val="222732"/>
          <w:sz w:val="21"/>
        </w:rPr>
        <w:t>Design selection across the whole menu (RCT, matching, IV, RD, DiD, synthetic control, DML) — Weeks 3, 6-12.</w:t>
      </w:r>
    </w:p>
    <w:p>
      <w:pPr>
        <w:spacing w:before="0" w:after="40"/>
        <w:shd w:val="clear" w:color="auto" w:fill="ECEEF2"/>
        <w:pBdr>
          <w:left w:val="single" w:sz="24" w:space="8" w:color="2A9D8F"/>
        </w:pBdr>
      </w:pPr>
      <w:r>
        <w:rPr>
          <w:rFonts w:ascii="Calibri" w:hAnsi="Calibri"/>
          <w:b w:val="0"/>
          <w:i w:val="0"/>
          <w:color w:val="222732"/>
          <w:sz w:val="21"/>
        </w:rPr>
        <w:t>Identification &amp; assumptions discipline — Weeks 2, 4.</w:t>
      </w:r>
    </w:p>
    <w:p>
      <w:pPr>
        <w:spacing w:before="0" w:after="40"/>
        <w:shd w:val="clear" w:color="auto" w:fill="ECEEF2"/>
        <w:pBdr>
          <w:left w:val="single" w:sz="24" w:space="8" w:color="2A9D8F"/>
        </w:pBdr>
      </w:pPr>
      <w:r>
        <w:rPr>
          <w:rFonts w:ascii="Calibri" w:hAnsi="Calibri"/>
          <w:b w:val="0"/>
          <w:i w:val="0"/>
          <w:color w:val="222732"/>
          <w:sz w:val="21"/>
        </w:rPr>
        <w:t>Sensitivity / robustness (E-values, multiverse) — Weeks 7, 14.</w:t>
      </w:r>
    </w:p>
    <w:p>
      <w:pPr>
        <w:spacing w:before="0" w:after="40"/>
        <w:shd w:val="clear" w:color="auto" w:fill="ECEEF2"/>
        <w:pBdr>
          <w:left w:val="single" w:sz="24" w:space="8" w:color="2A9D8F"/>
        </w:pBdr>
      </w:pPr>
      <w:r>
        <w:rPr>
          <w:rFonts w:ascii="Calibri" w:hAnsi="Calibri"/>
          <w:b w:val="0"/>
          <w:i w:val="0"/>
          <w:color w:val="222732"/>
          <w:sz w:val="21"/>
        </w:rPr>
        <w:t>Reproducibility &amp; communication — Week 15 itself.</w:t>
      </w:r>
    </w:p>
    <w:p>
      <w:pPr>
        <w:spacing w:before="0" w:after="0"/>
      </w:pPr>
    </w:p>
    <w:p>
      <w:pPr>
        <w:spacing w:before="200" w:after="40"/>
      </w:pPr>
      <w:r>
        <w:rPr>
          <w:rFonts w:ascii="Calibri" w:hAnsi="Calibri"/>
          <w:b/>
          <w:i w:val="0"/>
          <w:color w:val="2F6DB5"/>
          <w:sz w:val="26"/>
        </w:rPr>
        <w:t>Suggested due dates</w:t>
      </w:r>
    </w:p>
    <w:p>
      <w:pPr>
        <w:spacing w:after="120"/>
      </w:pPr>
      <w:r>
        <w:rPr>
          <w:rFonts w:ascii="Calibri" w:hAnsi="Calibri"/>
          <w:b w:val="0"/>
          <w:i/>
          <w:color w:val="222732"/>
          <w:sz w:val="22"/>
        </w:rPr>
        <w:t>Assumes one 3-hour seminar per week; problem sets are due the evening before the next lecture, labs one extra day later so students can use the practice notebook first. Adjust to your calendar.</w:t>
      </w:r>
    </w:p>
    <w:tbl>
      <w:tblPr>
        <w:tblStyle w:val="TableGrid"/>
        <w:tblW w:type="auto" w:w="0"/>
        <w:jc w:val="center"/>
        <w:tblLook w:firstColumn="1" w:firstRow="1" w:lastColumn="0" w:lastRow="0" w:noHBand="0" w:noVBand="1" w:val="04A0"/>
      </w:tblPr>
      <w:tblGrid>
        <w:gridCol w:w="1930"/>
        <w:gridCol w:w="1930"/>
        <w:gridCol w:w="1930"/>
        <w:gridCol w:w="1930"/>
        <w:gridCol w:w="1930"/>
      </w:tblGrid>
      <w:tr>
        <w:tc>
          <w:tcPr>
            <w:tcW w:type="dxa" w:w="1930"/>
            <w:shd w:val="clear" w:color="auto" w:fill="1F2A44"/>
          </w:tcPr>
          <w:p>
            <w:r>
              <w:rPr>
                <w:rFonts w:ascii="Calibri" w:hAnsi="Calibri"/>
                <w:b/>
                <w:i w:val="0"/>
                <w:color w:val="FFFFFF"/>
                <w:sz w:val="21"/>
              </w:rPr>
              <w:t>Wk</w:t>
            </w:r>
          </w:p>
        </w:tc>
        <w:tc>
          <w:tcPr>
            <w:tcW w:type="dxa" w:w="1930"/>
            <w:shd w:val="clear" w:color="auto" w:fill="1F2A44"/>
          </w:tcPr>
          <w:p>
            <w:r>
              <w:rPr>
                <w:rFonts w:ascii="Calibri" w:hAnsi="Calibri"/>
                <w:b/>
                <w:i w:val="0"/>
                <w:color w:val="FFFFFF"/>
                <w:sz w:val="21"/>
              </w:rPr>
              <w:t>Topic</w:t>
            </w:r>
          </w:p>
        </w:tc>
        <w:tc>
          <w:tcPr>
            <w:tcW w:type="dxa" w:w="1930"/>
            <w:shd w:val="clear" w:color="auto" w:fill="1F2A44"/>
          </w:tcPr>
          <w:p>
            <w:r>
              <w:rPr>
                <w:rFonts w:ascii="Calibri" w:hAnsi="Calibri"/>
                <w:b/>
                <w:i w:val="0"/>
                <w:color w:val="FFFFFF"/>
                <w:sz w:val="21"/>
              </w:rPr>
              <w:t>Problem set due</w:t>
            </w:r>
          </w:p>
        </w:tc>
        <w:tc>
          <w:tcPr>
            <w:tcW w:type="dxa" w:w="1930"/>
            <w:shd w:val="clear" w:color="auto" w:fill="1F2A44"/>
          </w:tcPr>
          <w:p>
            <w:r>
              <w:rPr>
                <w:rFonts w:ascii="Calibri" w:hAnsi="Calibri"/>
                <w:b/>
                <w:i w:val="0"/>
                <w:color w:val="FFFFFF"/>
                <w:sz w:val="21"/>
              </w:rPr>
              <w:t>Lab due</w:t>
            </w:r>
          </w:p>
        </w:tc>
        <w:tc>
          <w:tcPr>
            <w:tcW w:type="dxa" w:w="1930"/>
            <w:shd w:val="clear" w:color="auto" w:fill="1F2A44"/>
          </w:tcPr>
          <w:p>
            <w:r>
              <w:rPr>
                <w:rFonts w:ascii="Calibri" w:hAnsi="Calibri"/>
                <w:b/>
                <w:i w:val="0"/>
                <w:color w:val="FFFFFF"/>
                <w:sz w:val="21"/>
              </w:rPr>
              <w:t>Notes</w:t>
            </w:r>
          </w:p>
        </w:tc>
      </w:tr>
      <w:tr>
        <w:tc>
          <w:tcPr>
            <w:tcW w:type="dxa" w:w="1930"/>
          </w:tcPr>
          <w:p>
            <w:r>
              <w:rPr>
                <w:rFonts w:ascii="Calibri" w:hAnsi="Calibri"/>
                <w:b w:val="0"/>
                <w:i w:val="0"/>
                <w:color w:val="222732"/>
                <w:sz w:val="21"/>
              </w:rPr>
              <w:t>1</w:t>
            </w:r>
          </w:p>
        </w:tc>
        <w:tc>
          <w:tcPr>
            <w:tcW w:type="dxa" w:w="1930"/>
          </w:tcPr>
          <w:p>
            <w:r>
              <w:rPr>
                <w:rFonts w:ascii="Calibri" w:hAnsi="Calibri"/>
                <w:b w:val="0"/>
                <w:i w:val="0"/>
                <w:color w:val="222732"/>
                <w:sz w:val="21"/>
              </w:rPr>
              <w:t>The Causal Question</w:t>
            </w:r>
          </w:p>
        </w:tc>
        <w:tc>
          <w:tcPr>
            <w:tcW w:type="dxa" w:w="1930"/>
          </w:tcPr>
          <w:p>
            <w:r>
              <w:rPr>
                <w:rFonts w:ascii="Calibri" w:hAnsi="Calibri"/>
                <w:b w:val="0"/>
                <w:i w:val="0"/>
                <w:color w:val="222732"/>
                <w:sz w:val="21"/>
              </w:rPr>
              <w:t>Wk 2, pre-lecture</w:t>
            </w:r>
          </w:p>
        </w:tc>
        <w:tc>
          <w:tcPr>
            <w:tcW w:type="dxa" w:w="1930"/>
          </w:tcPr>
          <w:p>
            <w:r>
              <w:rPr>
                <w:rFonts w:ascii="Calibri" w:hAnsi="Calibri"/>
                <w:b w:val="0"/>
                <w:i w:val="0"/>
                <w:color w:val="222732"/>
                <w:sz w:val="21"/>
              </w:rPr>
              <w:t>Wk 2 +1 day</w:t>
            </w:r>
          </w:p>
        </w:tc>
        <w:tc>
          <w:tcPr>
            <w:tcW w:type="dxa" w:w="1930"/>
          </w:tcPr>
          <w:p>
            <w:r>
              <w:rPr>
                <w:rFonts w:ascii="Calibri" w:hAnsi="Calibri"/>
                <w:b w:val="0"/>
                <w:i w:val="0"/>
                <w:color w:val="222732"/>
                <w:sz w:val="21"/>
              </w:rPr>
              <w:t>Lab 0: get the toolchain + repo live.</w:t>
            </w:r>
          </w:p>
        </w:tc>
      </w:tr>
      <w:tr>
        <w:tc>
          <w:tcPr>
            <w:tcW w:type="dxa" w:w="1930"/>
            <w:shd w:val="clear" w:color="auto" w:fill="ECEEF2"/>
          </w:tcPr>
          <w:p>
            <w:r>
              <w:rPr>
                <w:rFonts w:ascii="Calibri" w:hAnsi="Calibri"/>
                <w:b w:val="0"/>
                <w:i w:val="0"/>
                <w:color w:val="222732"/>
                <w:sz w:val="21"/>
              </w:rPr>
              <w:t>2</w:t>
            </w:r>
          </w:p>
        </w:tc>
        <w:tc>
          <w:tcPr>
            <w:tcW w:type="dxa" w:w="1930"/>
            <w:shd w:val="clear" w:color="auto" w:fill="ECEEF2"/>
          </w:tcPr>
          <w:p>
            <w:r>
              <w:rPr>
                <w:rFonts w:ascii="Calibri" w:hAnsi="Calibri"/>
                <w:b w:val="0"/>
                <w:i w:val="0"/>
                <w:color w:val="222732"/>
                <w:sz w:val="21"/>
              </w:rPr>
              <w:t>Potential Outcomes</w:t>
            </w:r>
          </w:p>
        </w:tc>
        <w:tc>
          <w:tcPr>
            <w:tcW w:type="dxa" w:w="1930"/>
            <w:shd w:val="clear" w:color="auto" w:fill="ECEEF2"/>
          </w:tcPr>
          <w:p>
            <w:r>
              <w:rPr>
                <w:rFonts w:ascii="Calibri" w:hAnsi="Calibri"/>
                <w:b w:val="0"/>
                <w:i w:val="0"/>
                <w:color w:val="222732"/>
                <w:sz w:val="21"/>
              </w:rPr>
              <w:t>Wk 3, pre-lecture</w:t>
            </w:r>
          </w:p>
        </w:tc>
        <w:tc>
          <w:tcPr>
            <w:tcW w:type="dxa" w:w="1930"/>
            <w:shd w:val="clear" w:color="auto" w:fill="ECEEF2"/>
          </w:tcPr>
          <w:p>
            <w:r>
              <w:rPr>
                <w:rFonts w:ascii="Calibri" w:hAnsi="Calibri"/>
                <w:b w:val="0"/>
                <w:i w:val="0"/>
                <w:color w:val="222732"/>
                <w:sz w:val="21"/>
              </w:rPr>
              <w:t>Wk 3 +1 day</w:t>
            </w:r>
          </w:p>
        </w:tc>
        <w:tc>
          <w:tcPr>
            <w:tcW w:type="dxa" w:w="1930"/>
            <w:shd w:val="clear" w:color="auto" w:fill="ECEEF2"/>
          </w:tcPr>
          <w:p>
            <w:r>
              <w:rPr>
                <w:rFonts w:ascii="Calibri" w:hAnsi="Calibri"/>
                <w:b w:val="0"/>
                <w:i w:val="0"/>
                <w:color w:val="222732"/>
                <w:sz w:val="21"/>
              </w:rPr>
            </w:r>
          </w:p>
        </w:tc>
      </w:tr>
      <w:tr>
        <w:tc>
          <w:tcPr>
            <w:tcW w:type="dxa" w:w="1930"/>
          </w:tcPr>
          <w:p>
            <w:r>
              <w:rPr>
                <w:rFonts w:ascii="Calibri" w:hAnsi="Calibri"/>
                <w:b w:val="0"/>
                <w:i w:val="0"/>
                <w:color w:val="222732"/>
                <w:sz w:val="21"/>
              </w:rPr>
              <w:t>3</w:t>
            </w:r>
          </w:p>
        </w:tc>
        <w:tc>
          <w:tcPr>
            <w:tcW w:type="dxa" w:w="1930"/>
          </w:tcPr>
          <w:p>
            <w:r>
              <w:rPr>
                <w:rFonts w:ascii="Calibri" w:hAnsi="Calibri"/>
                <w:b w:val="0"/>
                <w:i w:val="0"/>
                <w:color w:val="222732"/>
                <w:sz w:val="21"/>
              </w:rPr>
              <w:t>Randomized Experiments</w:t>
            </w:r>
          </w:p>
        </w:tc>
        <w:tc>
          <w:tcPr>
            <w:tcW w:type="dxa" w:w="1930"/>
          </w:tcPr>
          <w:p>
            <w:r>
              <w:rPr>
                <w:rFonts w:ascii="Calibri" w:hAnsi="Calibri"/>
                <w:b w:val="0"/>
                <w:i w:val="0"/>
                <w:color w:val="222732"/>
                <w:sz w:val="21"/>
              </w:rPr>
              <w:t>Wk 4, pre-lecture</w:t>
            </w:r>
          </w:p>
        </w:tc>
        <w:tc>
          <w:tcPr>
            <w:tcW w:type="dxa" w:w="1930"/>
          </w:tcPr>
          <w:p>
            <w:r>
              <w:rPr>
                <w:rFonts w:ascii="Calibri" w:hAnsi="Calibri"/>
                <w:b w:val="0"/>
                <w:i w:val="0"/>
                <w:color w:val="222732"/>
                <w:sz w:val="21"/>
              </w:rPr>
              <w:t>Wk 4 +1 day</w:t>
            </w:r>
          </w:p>
        </w:tc>
        <w:tc>
          <w:tcPr>
            <w:tcW w:type="dxa" w:w="1930"/>
          </w:tcPr>
          <w:p>
            <w:r>
              <w:rPr>
                <w:rFonts w:ascii="Calibri" w:hAnsi="Calibri"/>
                <w:b w:val="0"/>
                <w:i w:val="0"/>
                <w:color w:val="222732"/>
                <w:sz w:val="21"/>
              </w:rPr>
              <w:t>First full end-to-end lab.</w:t>
            </w:r>
          </w:p>
        </w:tc>
      </w:tr>
      <w:tr>
        <w:tc>
          <w:tcPr>
            <w:tcW w:type="dxa" w:w="1930"/>
            <w:shd w:val="clear" w:color="auto" w:fill="ECEEF2"/>
          </w:tcPr>
          <w:p>
            <w:r>
              <w:rPr>
                <w:rFonts w:ascii="Calibri" w:hAnsi="Calibri"/>
                <w:b w:val="0"/>
                <w:i w:val="0"/>
                <w:color w:val="222732"/>
                <w:sz w:val="21"/>
              </w:rPr>
              <w:t>4</w:t>
            </w:r>
          </w:p>
        </w:tc>
        <w:tc>
          <w:tcPr>
            <w:tcW w:type="dxa" w:w="1930"/>
            <w:shd w:val="clear" w:color="auto" w:fill="ECEEF2"/>
          </w:tcPr>
          <w:p>
            <w:r>
              <w:rPr>
                <w:rFonts w:ascii="Calibri" w:hAnsi="Calibri"/>
                <w:b w:val="0"/>
                <w:i w:val="0"/>
                <w:color w:val="222732"/>
                <w:sz w:val="21"/>
              </w:rPr>
              <w:t>Causal Graphs (DAGs)</w:t>
            </w:r>
          </w:p>
        </w:tc>
        <w:tc>
          <w:tcPr>
            <w:tcW w:type="dxa" w:w="1930"/>
            <w:shd w:val="clear" w:color="auto" w:fill="ECEEF2"/>
          </w:tcPr>
          <w:p>
            <w:r>
              <w:rPr>
                <w:rFonts w:ascii="Calibri" w:hAnsi="Calibri"/>
                <w:b w:val="0"/>
                <w:i w:val="0"/>
                <w:color w:val="222732"/>
                <w:sz w:val="21"/>
              </w:rPr>
              <w:t>Wk 5, pre-lecture</w:t>
            </w:r>
          </w:p>
        </w:tc>
        <w:tc>
          <w:tcPr>
            <w:tcW w:type="dxa" w:w="1930"/>
            <w:shd w:val="clear" w:color="auto" w:fill="ECEEF2"/>
          </w:tcPr>
          <w:p>
            <w:r>
              <w:rPr>
                <w:rFonts w:ascii="Calibri" w:hAnsi="Calibri"/>
                <w:b w:val="0"/>
                <w:i w:val="0"/>
                <w:color w:val="222732"/>
                <w:sz w:val="21"/>
              </w:rPr>
              <w:t>Wk 5 +1 day</w:t>
            </w:r>
          </w:p>
        </w:tc>
        <w:tc>
          <w:tcPr>
            <w:tcW w:type="dxa" w:w="1930"/>
            <w:shd w:val="clear" w:color="auto" w:fill="ECEEF2"/>
          </w:tcPr>
          <w:p>
            <w:r>
              <w:rPr>
                <w:rFonts w:ascii="Calibri" w:hAnsi="Calibri"/>
                <w:b w:val="0"/>
                <w:i w:val="0"/>
                <w:color w:val="222732"/>
                <w:sz w:val="21"/>
              </w:rPr>
            </w:r>
          </w:p>
        </w:tc>
      </w:tr>
      <w:tr>
        <w:tc>
          <w:tcPr>
            <w:tcW w:type="dxa" w:w="1930"/>
          </w:tcPr>
          <w:p>
            <w:r>
              <w:rPr>
                <w:rFonts w:ascii="Calibri" w:hAnsi="Calibri"/>
                <w:b w:val="0"/>
                <w:i w:val="0"/>
                <w:color w:val="222732"/>
                <w:sz w:val="21"/>
              </w:rPr>
              <w:t>5</w:t>
            </w:r>
          </w:p>
        </w:tc>
        <w:tc>
          <w:tcPr>
            <w:tcW w:type="dxa" w:w="1930"/>
          </w:tcPr>
          <w:p>
            <w:r>
              <w:rPr>
                <w:rFonts w:ascii="Calibri" w:hAnsi="Calibri"/>
                <w:b w:val="0"/>
                <w:i w:val="0"/>
                <w:color w:val="222732"/>
                <w:sz w:val="21"/>
              </w:rPr>
              <w:t>Regression &amp; Adjustment</w:t>
            </w:r>
          </w:p>
        </w:tc>
        <w:tc>
          <w:tcPr>
            <w:tcW w:type="dxa" w:w="1930"/>
          </w:tcPr>
          <w:p>
            <w:r>
              <w:rPr>
                <w:rFonts w:ascii="Calibri" w:hAnsi="Calibri"/>
                <w:b w:val="0"/>
                <w:i w:val="0"/>
                <w:color w:val="222732"/>
                <w:sz w:val="21"/>
              </w:rPr>
              <w:t>Wk 6, pre-lecture</w:t>
            </w:r>
          </w:p>
        </w:tc>
        <w:tc>
          <w:tcPr>
            <w:tcW w:type="dxa" w:w="1930"/>
          </w:tcPr>
          <w:p>
            <w:r>
              <w:rPr>
                <w:rFonts w:ascii="Calibri" w:hAnsi="Calibri"/>
                <w:b w:val="0"/>
                <w:i w:val="0"/>
                <w:color w:val="222732"/>
                <w:sz w:val="21"/>
              </w:rPr>
              <w:t>Wk 6 +1 day</w:t>
            </w:r>
          </w:p>
        </w:tc>
        <w:tc>
          <w:tcPr>
            <w:tcW w:type="dxa" w:w="1930"/>
          </w:tcPr>
          <w:p>
            <w:r>
              <w:rPr>
                <w:rFonts w:ascii="Calibri" w:hAnsi="Calibri"/>
                <w:b w:val="0"/>
                <w:i w:val="0"/>
                <w:color w:val="222732"/>
                <w:sz w:val="21"/>
              </w:rPr>
            </w:r>
          </w:p>
        </w:tc>
      </w:tr>
      <w:tr>
        <w:tc>
          <w:tcPr>
            <w:tcW w:type="dxa" w:w="1930"/>
            <w:shd w:val="clear" w:color="auto" w:fill="ECEEF2"/>
          </w:tcPr>
          <w:p>
            <w:r>
              <w:rPr>
                <w:rFonts w:ascii="Calibri" w:hAnsi="Calibri"/>
                <w:b w:val="0"/>
                <w:i w:val="0"/>
                <w:color w:val="222732"/>
                <w:sz w:val="21"/>
              </w:rPr>
              <w:t>6</w:t>
            </w:r>
          </w:p>
        </w:tc>
        <w:tc>
          <w:tcPr>
            <w:tcW w:type="dxa" w:w="1930"/>
            <w:shd w:val="clear" w:color="auto" w:fill="ECEEF2"/>
          </w:tcPr>
          <w:p>
            <w:r>
              <w:rPr>
                <w:rFonts w:ascii="Calibri" w:hAnsi="Calibri"/>
                <w:b w:val="0"/>
                <w:i w:val="0"/>
                <w:color w:val="222732"/>
                <w:sz w:val="21"/>
              </w:rPr>
              <w:t>Matching &amp; Propensity</w:t>
            </w:r>
          </w:p>
        </w:tc>
        <w:tc>
          <w:tcPr>
            <w:tcW w:type="dxa" w:w="1930"/>
            <w:shd w:val="clear" w:color="auto" w:fill="ECEEF2"/>
          </w:tcPr>
          <w:p>
            <w:r>
              <w:rPr>
                <w:rFonts w:ascii="Calibri" w:hAnsi="Calibri"/>
                <w:b w:val="0"/>
                <w:i w:val="0"/>
                <w:color w:val="222732"/>
                <w:sz w:val="21"/>
              </w:rPr>
              <w:t>Wk 7, pre-lecture</w:t>
            </w:r>
          </w:p>
        </w:tc>
        <w:tc>
          <w:tcPr>
            <w:tcW w:type="dxa" w:w="1930"/>
            <w:shd w:val="clear" w:color="auto" w:fill="ECEEF2"/>
          </w:tcPr>
          <w:p>
            <w:r>
              <w:rPr>
                <w:rFonts w:ascii="Calibri" w:hAnsi="Calibri"/>
                <w:b w:val="0"/>
                <w:i w:val="0"/>
                <w:color w:val="222732"/>
                <w:sz w:val="21"/>
              </w:rPr>
              <w:t>Wk 7 +1 day</w:t>
            </w:r>
          </w:p>
        </w:tc>
        <w:tc>
          <w:tcPr>
            <w:tcW w:type="dxa" w:w="1930"/>
            <w:shd w:val="clear" w:color="auto" w:fill="ECEEF2"/>
          </w:tcPr>
          <w:p>
            <w:r>
              <w:rPr>
                <w:rFonts w:ascii="Calibri" w:hAnsi="Calibri"/>
                <w:b w:val="0"/>
                <w:i w:val="0"/>
                <w:color w:val="222732"/>
                <w:sz w:val="21"/>
              </w:rPr>
            </w:r>
          </w:p>
        </w:tc>
      </w:tr>
      <w:tr>
        <w:tc>
          <w:tcPr>
            <w:tcW w:type="dxa" w:w="1930"/>
          </w:tcPr>
          <w:p>
            <w:r>
              <w:rPr>
                <w:rFonts w:ascii="Calibri" w:hAnsi="Calibri"/>
                <w:b w:val="0"/>
                <w:i w:val="0"/>
                <w:color w:val="222732"/>
                <w:sz w:val="21"/>
              </w:rPr>
              <w:t>7</w:t>
            </w:r>
          </w:p>
        </w:tc>
        <w:tc>
          <w:tcPr>
            <w:tcW w:type="dxa" w:w="1930"/>
          </w:tcPr>
          <w:p>
            <w:r>
              <w:rPr>
                <w:rFonts w:ascii="Calibri" w:hAnsi="Calibri"/>
                <w:b w:val="0"/>
                <w:i w:val="0"/>
                <w:color w:val="222732"/>
                <w:sz w:val="21"/>
              </w:rPr>
              <w:t>Weighting &amp; Doubly Robust</w:t>
            </w:r>
          </w:p>
        </w:tc>
        <w:tc>
          <w:tcPr>
            <w:tcW w:type="dxa" w:w="1930"/>
          </w:tcPr>
          <w:p>
            <w:r>
              <w:rPr>
                <w:rFonts w:ascii="Calibri" w:hAnsi="Calibri"/>
                <w:b w:val="0"/>
                <w:i w:val="0"/>
                <w:color w:val="222732"/>
                <w:sz w:val="21"/>
              </w:rPr>
              <w:t>Wk 8, pre-lecture</w:t>
            </w:r>
          </w:p>
        </w:tc>
        <w:tc>
          <w:tcPr>
            <w:tcW w:type="dxa" w:w="1930"/>
          </w:tcPr>
          <w:p>
            <w:r>
              <w:rPr>
                <w:rFonts w:ascii="Calibri" w:hAnsi="Calibri"/>
                <w:b w:val="0"/>
                <w:i w:val="0"/>
                <w:color w:val="222732"/>
                <w:sz w:val="21"/>
              </w:rPr>
              <w:t>Wk 8 +1 day</w:t>
            </w:r>
          </w:p>
        </w:tc>
        <w:tc>
          <w:tcPr>
            <w:tcW w:type="dxa" w:w="1930"/>
          </w:tcPr>
          <w:p>
            <w:r>
              <w:rPr>
                <w:rFonts w:ascii="Calibri" w:hAnsi="Calibri"/>
                <w:b w:val="0"/>
                <w:i w:val="0"/>
                <w:color w:val="222732"/>
                <w:sz w:val="21"/>
              </w:rPr>
              <w:t>Last topic on the midterm.</w:t>
            </w:r>
          </w:p>
        </w:tc>
      </w:tr>
      <w:tr>
        <w:tc>
          <w:tcPr>
            <w:tcW w:type="dxa" w:w="1930"/>
            <w:shd w:val="clear" w:color="auto" w:fill="ECEEF2"/>
          </w:tcPr>
          <w:p>
            <w:r>
              <w:rPr>
                <w:rFonts w:ascii="Calibri" w:hAnsi="Calibri"/>
                <w:b w:val="0"/>
                <w:i w:val="0"/>
                <w:color w:val="222732"/>
                <w:sz w:val="21"/>
              </w:rPr>
              <w:t>8</w:t>
            </w:r>
          </w:p>
        </w:tc>
        <w:tc>
          <w:tcPr>
            <w:tcW w:type="dxa" w:w="1930"/>
            <w:shd w:val="clear" w:color="auto" w:fill="ECEEF2"/>
          </w:tcPr>
          <w:p>
            <w:r>
              <w:rPr>
                <w:rFonts w:ascii="Calibri" w:hAnsi="Calibri"/>
                <w:b w:val="0"/>
                <w:i w:val="0"/>
                <w:color w:val="222732"/>
                <w:sz w:val="21"/>
              </w:rPr>
              <w:t>IV &amp; Mendelian Rand.</w:t>
            </w:r>
          </w:p>
        </w:tc>
        <w:tc>
          <w:tcPr>
            <w:tcW w:type="dxa" w:w="1930"/>
            <w:shd w:val="clear" w:color="auto" w:fill="ECEEF2"/>
          </w:tcPr>
          <w:p>
            <w:r>
              <w:rPr>
                <w:rFonts w:ascii="Calibri" w:hAnsi="Calibri"/>
                <w:b w:val="0"/>
                <w:i w:val="0"/>
                <w:color w:val="222732"/>
                <w:sz w:val="21"/>
              </w:rPr>
              <w:t>MIDTERM in class</w:t>
            </w:r>
          </w:p>
        </w:tc>
        <w:tc>
          <w:tcPr>
            <w:tcW w:type="dxa" w:w="1930"/>
            <w:shd w:val="clear" w:color="auto" w:fill="ECEEF2"/>
          </w:tcPr>
          <w:p>
            <w:r>
              <w:rPr>
                <w:rFonts w:ascii="Calibri" w:hAnsi="Calibri"/>
                <w:b w:val="0"/>
                <w:i w:val="0"/>
                <w:color w:val="222732"/>
                <w:sz w:val="21"/>
              </w:rPr>
              <w:t>Wk 9 +2 days</w:t>
            </w:r>
          </w:p>
        </w:tc>
        <w:tc>
          <w:tcPr>
            <w:tcW w:type="dxa" w:w="1930"/>
            <w:shd w:val="clear" w:color="auto" w:fill="ECEEF2"/>
          </w:tcPr>
          <w:p>
            <w:r>
              <w:rPr>
                <w:rFonts w:ascii="Calibri" w:hAnsi="Calibri"/>
                <w:b w:val="0"/>
                <w:i w:val="0"/>
                <w:color w:val="222732"/>
                <w:sz w:val="21"/>
              </w:rPr>
              <w:t>Midterm covers Wk 1-7; give Lab 5 extra time.</w:t>
            </w:r>
          </w:p>
        </w:tc>
      </w:tr>
      <w:tr>
        <w:tc>
          <w:tcPr>
            <w:tcW w:type="dxa" w:w="1930"/>
          </w:tcPr>
          <w:p>
            <w:r>
              <w:rPr>
                <w:rFonts w:ascii="Calibri" w:hAnsi="Calibri"/>
                <w:b w:val="0"/>
                <w:i w:val="0"/>
                <w:color w:val="222732"/>
                <w:sz w:val="21"/>
              </w:rPr>
              <w:t>9</w:t>
            </w:r>
          </w:p>
        </w:tc>
        <w:tc>
          <w:tcPr>
            <w:tcW w:type="dxa" w:w="1930"/>
          </w:tcPr>
          <w:p>
            <w:r>
              <w:rPr>
                <w:rFonts w:ascii="Calibri" w:hAnsi="Calibri"/>
                <w:b w:val="0"/>
                <w:i w:val="0"/>
                <w:color w:val="222732"/>
                <w:sz w:val="21"/>
              </w:rPr>
              <w:t>Regression Discontinuity</w:t>
            </w:r>
          </w:p>
        </w:tc>
        <w:tc>
          <w:tcPr>
            <w:tcW w:type="dxa" w:w="1930"/>
          </w:tcPr>
          <w:p>
            <w:r>
              <w:rPr>
                <w:rFonts w:ascii="Calibri" w:hAnsi="Calibri"/>
                <w:b w:val="0"/>
                <w:i w:val="0"/>
                <w:color w:val="222732"/>
                <w:sz w:val="21"/>
              </w:rPr>
              <w:t>Wk 10, pre-lecture</w:t>
            </w:r>
          </w:p>
        </w:tc>
        <w:tc>
          <w:tcPr>
            <w:tcW w:type="dxa" w:w="1930"/>
          </w:tcPr>
          <w:p>
            <w:r>
              <w:rPr>
                <w:rFonts w:ascii="Calibri" w:hAnsi="Calibri"/>
                <w:b w:val="0"/>
                <w:i w:val="0"/>
                <w:color w:val="222732"/>
                <w:sz w:val="21"/>
              </w:rPr>
              <w:t>Wk 10 +1 day</w:t>
            </w:r>
          </w:p>
        </w:tc>
        <w:tc>
          <w:tcPr>
            <w:tcW w:type="dxa" w:w="1930"/>
          </w:tcPr>
          <w:p>
            <w:r>
              <w:rPr>
                <w:rFonts w:ascii="Calibri" w:hAnsi="Calibri"/>
                <w:b w:val="0"/>
                <w:i w:val="0"/>
                <w:color w:val="222732"/>
                <w:sz w:val="21"/>
              </w:rPr>
            </w:r>
          </w:p>
        </w:tc>
      </w:tr>
      <w:tr>
        <w:tc>
          <w:tcPr>
            <w:tcW w:type="dxa" w:w="1930"/>
            <w:shd w:val="clear" w:color="auto" w:fill="ECEEF2"/>
          </w:tcPr>
          <w:p>
            <w:r>
              <w:rPr>
                <w:rFonts w:ascii="Calibri" w:hAnsi="Calibri"/>
                <w:b w:val="0"/>
                <w:i w:val="0"/>
                <w:color w:val="222732"/>
                <w:sz w:val="21"/>
              </w:rPr>
              <w:t>10</w:t>
            </w:r>
          </w:p>
        </w:tc>
        <w:tc>
          <w:tcPr>
            <w:tcW w:type="dxa" w:w="1930"/>
            <w:shd w:val="clear" w:color="auto" w:fill="ECEEF2"/>
          </w:tcPr>
          <w:p>
            <w:r>
              <w:rPr>
                <w:rFonts w:ascii="Calibri" w:hAnsi="Calibri"/>
                <w:b w:val="0"/>
                <w:i w:val="0"/>
                <w:color w:val="222732"/>
                <w:sz w:val="21"/>
              </w:rPr>
              <w:t>Diff-in-Diff &amp; Panel</w:t>
            </w:r>
          </w:p>
        </w:tc>
        <w:tc>
          <w:tcPr>
            <w:tcW w:type="dxa" w:w="1930"/>
            <w:shd w:val="clear" w:color="auto" w:fill="ECEEF2"/>
          </w:tcPr>
          <w:p>
            <w:r>
              <w:rPr>
                <w:rFonts w:ascii="Calibri" w:hAnsi="Calibri"/>
                <w:b w:val="0"/>
                <w:i w:val="0"/>
                <w:color w:val="222732"/>
                <w:sz w:val="21"/>
              </w:rPr>
              <w:t>Wk 11, pre-lecture</w:t>
            </w:r>
          </w:p>
        </w:tc>
        <w:tc>
          <w:tcPr>
            <w:tcW w:type="dxa" w:w="1930"/>
            <w:shd w:val="clear" w:color="auto" w:fill="ECEEF2"/>
          </w:tcPr>
          <w:p>
            <w:r>
              <w:rPr>
                <w:rFonts w:ascii="Calibri" w:hAnsi="Calibri"/>
                <w:b w:val="0"/>
                <w:i w:val="0"/>
                <w:color w:val="222732"/>
                <w:sz w:val="21"/>
              </w:rPr>
              <w:t>Wk 11 +1 day</w:t>
            </w:r>
          </w:p>
        </w:tc>
        <w:tc>
          <w:tcPr>
            <w:tcW w:type="dxa" w:w="1930"/>
            <w:shd w:val="clear" w:color="auto" w:fill="ECEEF2"/>
          </w:tcPr>
          <w:p>
            <w:r>
              <w:rPr>
                <w:rFonts w:ascii="Calibri" w:hAnsi="Calibri"/>
                <w:b w:val="0"/>
                <w:i w:val="0"/>
                <w:color w:val="222732"/>
                <w:sz w:val="21"/>
              </w:rPr>
            </w:r>
          </w:p>
        </w:tc>
      </w:tr>
      <w:tr>
        <w:tc>
          <w:tcPr>
            <w:tcW w:type="dxa" w:w="1930"/>
          </w:tcPr>
          <w:p>
            <w:r>
              <w:rPr>
                <w:rFonts w:ascii="Calibri" w:hAnsi="Calibri"/>
                <w:b w:val="0"/>
                <w:i w:val="0"/>
                <w:color w:val="222732"/>
                <w:sz w:val="21"/>
              </w:rPr>
              <w:t>11</w:t>
            </w:r>
          </w:p>
        </w:tc>
        <w:tc>
          <w:tcPr>
            <w:tcW w:type="dxa" w:w="1930"/>
          </w:tcPr>
          <w:p>
            <w:r>
              <w:rPr>
                <w:rFonts w:ascii="Calibri" w:hAnsi="Calibri"/>
                <w:b w:val="0"/>
                <w:i w:val="0"/>
                <w:color w:val="222732"/>
                <w:sz w:val="21"/>
              </w:rPr>
              <w:t>Synthetic Control</w:t>
            </w:r>
          </w:p>
        </w:tc>
        <w:tc>
          <w:tcPr>
            <w:tcW w:type="dxa" w:w="1930"/>
          </w:tcPr>
          <w:p>
            <w:r>
              <w:rPr>
                <w:rFonts w:ascii="Calibri" w:hAnsi="Calibri"/>
                <w:b w:val="0"/>
                <w:i w:val="0"/>
                <w:color w:val="222732"/>
                <w:sz w:val="21"/>
              </w:rPr>
              <w:t>Wk 12, pre-lecture</w:t>
            </w:r>
          </w:p>
        </w:tc>
        <w:tc>
          <w:tcPr>
            <w:tcW w:type="dxa" w:w="1930"/>
          </w:tcPr>
          <w:p>
            <w:r>
              <w:rPr>
                <w:rFonts w:ascii="Calibri" w:hAnsi="Calibri"/>
                <w:b w:val="0"/>
                <w:i w:val="0"/>
                <w:color w:val="222732"/>
                <w:sz w:val="21"/>
              </w:rPr>
              <w:t>Wk 12 +1 day</w:t>
            </w:r>
          </w:p>
        </w:tc>
        <w:tc>
          <w:tcPr>
            <w:tcW w:type="dxa" w:w="1930"/>
          </w:tcPr>
          <w:p>
            <w:r>
              <w:rPr>
                <w:rFonts w:ascii="Calibri" w:hAnsi="Calibri"/>
                <w:b w:val="0"/>
                <w:i w:val="0"/>
                <w:color w:val="222732"/>
                <w:sz w:val="21"/>
              </w:rPr>
            </w:r>
          </w:p>
        </w:tc>
      </w:tr>
      <w:tr>
        <w:tc>
          <w:tcPr>
            <w:tcW w:type="dxa" w:w="1930"/>
            <w:shd w:val="clear" w:color="auto" w:fill="ECEEF2"/>
          </w:tcPr>
          <w:p>
            <w:r>
              <w:rPr>
                <w:rFonts w:ascii="Calibri" w:hAnsi="Calibri"/>
                <w:b w:val="0"/>
                <w:i w:val="0"/>
                <w:color w:val="222732"/>
                <w:sz w:val="21"/>
              </w:rPr>
              <w:t>12</w:t>
            </w:r>
          </w:p>
        </w:tc>
        <w:tc>
          <w:tcPr>
            <w:tcW w:type="dxa" w:w="1930"/>
            <w:shd w:val="clear" w:color="auto" w:fill="ECEEF2"/>
          </w:tcPr>
          <w:p>
            <w:r>
              <w:rPr>
                <w:rFonts w:ascii="Calibri" w:hAnsi="Calibri"/>
                <w:b w:val="0"/>
                <w:i w:val="0"/>
                <w:color w:val="222732"/>
                <w:sz w:val="21"/>
              </w:rPr>
              <w:t>Double / Debiased ML</w:t>
            </w:r>
          </w:p>
        </w:tc>
        <w:tc>
          <w:tcPr>
            <w:tcW w:type="dxa" w:w="1930"/>
            <w:shd w:val="clear" w:color="auto" w:fill="ECEEF2"/>
          </w:tcPr>
          <w:p>
            <w:r>
              <w:rPr>
                <w:rFonts w:ascii="Calibri" w:hAnsi="Calibri"/>
                <w:b w:val="0"/>
                <w:i w:val="0"/>
                <w:color w:val="222732"/>
                <w:sz w:val="21"/>
              </w:rPr>
              <w:t>Wk 13, pre-lecture</w:t>
            </w:r>
          </w:p>
        </w:tc>
        <w:tc>
          <w:tcPr>
            <w:tcW w:type="dxa" w:w="1930"/>
            <w:shd w:val="clear" w:color="auto" w:fill="ECEEF2"/>
          </w:tcPr>
          <w:p>
            <w:r>
              <w:rPr>
                <w:rFonts w:ascii="Calibri" w:hAnsi="Calibri"/>
                <w:b w:val="0"/>
                <w:i w:val="0"/>
                <w:color w:val="222732"/>
                <w:sz w:val="21"/>
              </w:rPr>
              <w:t>Wk 13 +1 day</w:t>
            </w:r>
          </w:p>
        </w:tc>
        <w:tc>
          <w:tcPr>
            <w:tcW w:type="dxa" w:w="1930"/>
            <w:shd w:val="clear" w:color="auto" w:fill="ECEEF2"/>
          </w:tcPr>
          <w:p>
            <w:r>
              <w:rPr>
                <w:rFonts w:ascii="Calibri" w:hAnsi="Calibri"/>
                <w:b w:val="0"/>
                <w:i w:val="0"/>
                <w:color w:val="222732"/>
                <w:sz w:val="21"/>
              </w:rPr>
              <w:t>Module may be in progress; confirm scope.</w:t>
            </w:r>
          </w:p>
        </w:tc>
      </w:tr>
      <w:tr>
        <w:tc>
          <w:tcPr>
            <w:tcW w:type="dxa" w:w="1930"/>
          </w:tcPr>
          <w:p>
            <w:r>
              <w:rPr>
                <w:rFonts w:ascii="Calibri" w:hAnsi="Calibri"/>
                <w:b w:val="0"/>
                <w:i w:val="0"/>
                <w:color w:val="222732"/>
                <w:sz w:val="21"/>
              </w:rPr>
              <w:t>13</w:t>
            </w:r>
          </w:p>
        </w:tc>
        <w:tc>
          <w:tcPr>
            <w:tcW w:type="dxa" w:w="1930"/>
          </w:tcPr>
          <w:p>
            <w:r>
              <w:rPr>
                <w:rFonts w:ascii="Calibri" w:hAnsi="Calibri"/>
                <w:b w:val="0"/>
                <w:i w:val="0"/>
                <w:color w:val="222732"/>
                <w:sz w:val="21"/>
              </w:rPr>
              <w:t>Heterogeneous Effects</w:t>
            </w:r>
          </w:p>
        </w:tc>
        <w:tc>
          <w:tcPr>
            <w:tcW w:type="dxa" w:w="1930"/>
          </w:tcPr>
          <w:p>
            <w:r>
              <w:rPr>
                <w:rFonts w:ascii="Calibri" w:hAnsi="Calibri"/>
                <w:b w:val="0"/>
                <w:i w:val="0"/>
                <w:color w:val="222732"/>
                <w:sz w:val="21"/>
              </w:rPr>
              <w:t>Wk 14, pre-lecture</w:t>
            </w:r>
          </w:p>
        </w:tc>
        <w:tc>
          <w:tcPr>
            <w:tcW w:type="dxa" w:w="1930"/>
          </w:tcPr>
          <w:p>
            <w:r>
              <w:rPr>
                <w:rFonts w:ascii="Calibri" w:hAnsi="Calibri"/>
                <w:b w:val="0"/>
                <w:i w:val="0"/>
                <w:color w:val="222732"/>
                <w:sz w:val="21"/>
              </w:rPr>
              <w:t>Wk 14 +1 day</w:t>
            </w:r>
          </w:p>
        </w:tc>
        <w:tc>
          <w:tcPr>
            <w:tcW w:type="dxa" w:w="1930"/>
          </w:tcPr>
          <w:p>
            <w:r>
              <w:rPr>
                <w:rFonts w:ascii="Calibri" w:hAnsi="Calibri"/>
                <w:b w:val="0"/>
                <w:i w:val="0"/>
                <w:color w:val="222732"/>
                <w:sz w:val="21"/>
              </w:rPr>
              <w:t>Capstone proposals due alongside.</w:t>
            </w:r>
          </w:p>
        </w:tc>
      </w:tr>
      <w:tr>
        <w:tc>
          <w:tcPr>
            <w:tcW w:type="dxa" w:w="1930"/>
            <w:shd w:val="clear" w:color="auto" w:fill="ECEEF2"/>
          </w:tcPr>
          <w:p>
            <w:r>
              <w:rPr>
                <w:rFonts w:ascii="Calibri" w:hAnsi="Calibri"/>
                <w:b w:val="0"/>
                <w:i w:val="0"/>
                <w:color w:val="222732"/>
                <w:sz w:val="21"/>
              </w:rPr>
              <w:t>14</w:t>
            </w:r>
          </w:p>
        </w:tc>
        <w:tc>
          <w:tcPr>
            <w:tcW w:type="dxa" w:w="1930"/>
            <w:shd w:val="clear" w:color="auto" w:fill="ECEEF2"/>
          </w:tcPr>
          <w:p>
            <w:r>
              <w:rPr>
                <w:rFonts w:ascii="Calibri" w:hAnsi="Calibri"/>
                <w:b w:val="0"/>
                <w:i w:val="0"/>
                <w:color w:val="222732"/>
                <w:sz w:val="21"/>
              </w:rPr>
              <w:t>Advanced Topics</w:t>
            </w:r>
          </w:p>
        </w:tc>
        <w:tc>
          <w:tcPr>
            <w:tcW w:type="dxa" w:w="1930"/>
            <w:shd w:val="clear" w:color="auto" w:fill="ECEEF2"/>
          </w:tcPr>
          <w:p>
            <w:r>
              <w:rPr>
                <w:rFonts w:ascii="Calibri" w:hAnsi="Calibri"/>
                <w:b w:val="0"/>
                <w:i w:val="0"/>
                <w:color w:val="222732"/>
                <w:sz w:val="21"/>
              </w:rPr>
              <w:t>Wk 15, pre-lecture</w:t>
            </w:r>
          </w:p>
        </w:tc>
        <w:tc>
          <w:tcPr>
            <w:tcW w:type="dxa" w:w="1930"/>
            <w:shd w:val="clear" w:color="auto" w:fill="ECEEF2"/>
          </w:tcPr>
          <w:p>
            <w:r>
              <w:rPr>
                <w:rFonts w:ascii="Calibri" w:hAnsi="Calibri"/>
                <w:b w:val="0"/>
                <w:i w:val="0"/>
                <w:color w:val="222732"/>
                <w:sz w:val="21"/>
              </w:rPr>
              <w:t>Wk 15 +1 day</w:t>
            </w:r>
          </w:p>
        </w:tc>
        <w:tc>
          <w:tcPr>
            <w:tcW w:type="dxa" w:w="1930"/>
            <w:shd w:val="clear" w:color="auto" w:fill="ECEEF2"/>
          </w:tcPr>
          <w:p>
            <w:r>
              <w:rPr>
                <w:rFonts w:ascii="Calibri" w:hAnsi="Calibri"/>
                <w:b w:val="0"/>
                <w:i w:val="0"/>
                <w:color w:val="222732"/>
                <w:sz w:val="21"/>
              </w:rPr>
              <w:t>Survey week — grade for breadth, not depth.</w:t>
            </w:r>
          </w:p>
        </w:tc>
      </w:tr>
      <w:tr>
        <w:tc>
          <w:tcPr>
            <w:tcW w:type="dxa" w:w="1930"/>
          </w:tcPr>
          <w:p>
            <w:r>
              <w:rPr>
                <w:rFonts w:ascii="Calibri" w:hAnsi="Calibri"/>
                <w:b w:val="0"/>
                <w:i w:val="0"/>
                <w:color w:val="222732"/>
                <w:sz w:val="21"/>
              </w:rPr>
              <w:t>15</w:t>
            </w:r>
          </w:p>
        </w:tc>
        <w:tc>
          <w:tcPr>
            <w:tcW w:type="dxa" w:w="1930"/>
          </w:tcPr>
          <w:p>
            <w:r>
              <w:rPr>
                <w:rFonts w:ascii="Calibri" w:hAnsi="Calibri"/>
                <w:b w:val="0"/>
                <w:i w:val="0"/>
                <w:color w:val="222732"/>
                <w:sz w:val="21"/>
              </w:rPr>
              <w:t>Capstone</w:t>
            </w:r>
          </w:p>
        </w:tc>
        <w:tc>
          <w:tcPr>
            <w:tcW w:type="dxa" w:w="1930"/>
          </w:tcPr>
          <w:p>
            <w:r>
              <w:rPr>
                <w:rFonts w:ascii="Calibri" w:hAnsi="Calibri"/>
                <w:b w:val="0"/>
                <w:i w:val="0"/>
                <w:color w:val="222732"/>
                <w:sz w:val="21"/>
              </w:rPr>
              <w:t>Pre-analysis plan, Wk 15</w:t>
            </w:r>
          </w:p>
        </w:tc>
        <w:tc>
          <w:tcPr>
            <w:tcW w:type="dxa" w:w="1930"/>
          </w:tcPr>
          <w:p>
            <w:r>
              <w:rPr>
                <w:rFonts w:ascii="Calibri" w:hAnsi="Calibri"/>
                <w:b w:val="0"/>
                <w:i w:val="0"/>
                <w:color w:val="222732"/>
                <w:sz w:val="21"/>
              </w:rPr>
              <w:t>Capstone report + talk</w:t>
            </w:r>
          </w:p>
        </w:tc>
        <w:tc>
          <w:tcPr>
            <w:tcW w:type="dxa" w:w="1930"/>
          </w:tcPr>
          <w:p>
            <w:r>
              <w:rPr>
                <w:rFonts w:ascii="Calibri" w:hAnsi="Calibri"/>
                <w:b w:val="0"/>
                <w:i w:val="0"/>
                <w:color w:val="222732"/>
                <w:sz w:val="21"/>
              </w:rPr>
              <w:t>Reserve a grading window (30%).</w:t>
            </w:r>
          </w:p>
        </w:tc>
      </w:tr>
    </w:tbl>
    <w:p>
      <w:pPr>
        <w:spacing w:after="40"/>
      </w:pPr>
    </w:p>
    <w:p>
      <w:pPr>
        <w:spacing w:before="160" w:after="0"/>
        <w:shd w:val="clear" w:color="auto" w:fill="ECEEF2"/>
        <w:pBdr>
          <w:left w:val="single" w:sz="24" w:space="8" w:color="E9A23B"/>
        </w:pBdr>
      </w:pPr>
      <w:r>
        <w:rPr>
          <w:rFonts w:ascii="Calibri" w:hAnsi="Calibri"/>
          <w:b/>
          <w:i w:val="0"/>
          <w:color w:val="E9A23B"/>
          <w:sz w:val="22"/>
        </w:rPr>
        <w:t>Pacing pressure points (build slack here)</w:t>
      </w:r>
    </w:p>
    <w:p>
      <w:pPr>
        <w:spacing w:before="0" w:after="40"/>
        <w:shd w:val="clear" w:color="auto" w:fill="ECEEF2"/>
        <w:pBdr>
          <w:left w:val="single" w:sz="24" w:space="8" w:color="E9A23B"/>
        </w:pBdr>
      </w:pPr>
      <w:r>
        <w:rPr>
          <w:rFonts w:ascii="Calibri" w:hAnsi="Calibri"/>
          <w:b w:val="0"/>
          <w:i w:val="0"/>
          <w:color w:val="222732"/>
          <w:sz w:val="21"/>
        </w:rPr>
        <w:t>Week 4 (DAGs): the collider rule reversal is the hardest single idea in Block I — do not compress it.</w:t>
      </w:r>
    </w:p>
    <w:p>
      <w:pPr>
        <w:spacing w:before="0" w:after="40"/>
        <w:shd w:val="clear" w:color="auto" w:fill="ECEEF2"/>
        <w:pBdr>
          <w:left w:val="single" w:sz="24" w:space="8" w:color="E9A23B"/>
        </w:pBdr>
      </w:pPr>
      <w:r>
        <w:rPr>
          <w:rFonts w:ascii="Calibri" w:hAnsi="Calibri"/>
          <w:b w:val="0"/>
          <w:i w:val="0"/>
          <w:color w:val="222732"/>
          <w:sz w:val="21"/>
        </w:rPr>
        <w:t>Week 8: the midterm eats lecture time; either trim Lab 5 or push its due date out (reflected above).</w:t>
      </w:r>
    </w:p>
    <w:p>
      <w:pPr>
        <w:spacing w:before="0" w:after="40"/>
        <w:shd w:val="clear" w:color="auto" w:fill="ECEEF2"/>
        <w:pBdr>
          <w:left w:val="single" w:sz="24" w:space="8" w:color="E9A23B"/>
        </w:pBdr>
      </w:pPr>
      <w:r>
        <w:rPr>
          <w:rFonts w:ascii="Calibri" w:hAnsi="Calibri"/>
          <w:b w:val="0"/>
          <w:i w:val="0"/>
          <w:color w:val="222732"/>
          <w:sz w:val="21"/>
        </w:rPr>
        <w:t>Week 10: Lab 7 is the heaviest non-capstone build (2x2, TWFE, event study, staggered-bias demo) — give two days.</w:t>
      </w:r>
    </w:p>
    <w:p>
      <w:pPr>
        <w:spacing w:before="0" w:after="40"/>
        <w:shd w:val="clear" w:color="auto" w:fill="ECEEF2"/>
        <w:pBdr>
          <w:left w:val="single" w:sz="24" w:space="8" w:color="E9A23B"/>
        </w:pBdr>
      </w:pPr>
      <w:r>
        <w:rPr>
          <w:rFonts w:ascii="Calibri" w:hAnsi="Calibri"/>
          <w:b w:val="0"/>
          <w:i w:val="0"/>
          <w:color w:val="222732"/>
          <w:sz w:val="21"/>
        </w:rPr>
        <w:t>Week 12: if the module is still in progress, lock its scope early so Week 13 (which reuses orthogonal scores) is not blocked.</w:t>
      </w:r>
    </w:p>
    <w:p>
      <w:pPr>
        <w:spacing w:before="0" w:after="40"/>
        <w:shd w:val="clear" w:color="auto" w:fill="ECEEF2"/>
        <w:pBdr>
          <w:left w:val="single" w:sz="24" w:space="8" w:color="E9A23B"/>
        </w:pBdr>
      </w:pPr>
      <w:r>
        <w:rPr>
          <w:rFonts w:ascii="Calibri" w:hAnsi="Calibri"/>
          <w:b w:val="0"/>
          <w:i w:val="0"/>
          <w:color w:val="222732"/>
          <w:sz w:val="21"/>
        </w:rPr>
        <w:t>Week 15: the capstone dominates end-of-term load; seed proposals in Week 13 and require the pre-analysis plan before any outcome analysis.</w:t>
      </w:r>
    </w:p>
    <w:p>
      <w:pPr>
        <w:spacing w:before="0" w:after="0"/>
      </w:pPr>
    </w:p>
    <w:p>
      <w:pPr>
        <w:spacing w:before="320" w:after="80"/>
        <w:pBdr>
          <w:left w:val="single" w:sz="18" w:space="8" w:color="2F6DB5"/>
        </w:pBdr>
        <w:ind w:left="115"/>
      </w:pPr>
      <w:r>
        <w:rPr>
          <w:rFonts w:ascii="Calibri" w:hAnsi="Calibri"/>
          <w:b/>
          <w:i w:val="0"/>
          <w:color w:val="1F2A44"/>
          <w:sz w:val="32"/>
        </w:rPr>
        <w:t>A closing note for the instructor</w:t>
      </w:r>
    </w:p>
    <w:p>
      <w:pPr>
        <w:spacing w:after="120"/>
      </w:pPr>
      <w:r>
        <w:rPr>
          <w:rFonts w:ascii="Calibri" w:hAnsi="Calibri"/>
          <w:b w:val="0"/>
          <w:i w:val="0"/>
          <w:color w:val="222732"/>
          <w:sz w:val="22"/>
        </w:rPr>
        <w:t>If students leave able to do just one thing, make it this: state the estimand and the identifying assumption out loud BEFORE running anything, and name the one assumption most likely to be wrong. Every method in this course is a different answer to 'what would make this comparison fair?' — keep returning to that question and the fifteen weeks hold together as one argument.</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2273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