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i w:val="0"/>
          <w:color w:val="2F6DB5"/>
          <w:sz w:val="22"/>
        </w:rPr>
        <w:t>Causal Inference in Practice  ·  Self-study packet</w:t>
      </w:r>
    </w:p>
    <w:p>
      <w:pPr>
        <w:spacing w:before="40" w:after="40"/>
      </w:pPr>
      <w:r>
        <w:rPr>
          <w:rFonts w:ascii="Calibri" w:hAnsi="Calibri"/>
          <w:b/>
          <w:i w:val="0"/>
          <w:color w:val="1F2A44"/>
          <w:sz w:val="48"/>
        </w:rPr>
        <w:t>Week 15 — Capstone Project</w:t>
      </w:r>
    </w:p>
    <w:p>
      <w:pPr>
        <w:spacing w:before="0" w:after="0"/>
        <w:pBdr>
          <w:bottom w:val="single" w:sz="24" w:space="8" w:color="E9A23B"/>
        </w:pBdr>
      </w:pP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An original, end-to-end causal analysis — your chance to take a real question all the way from a clearly posed counterfactual to a defensible, reproducible answer you can stand behind. Worth 30% of the course grade.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The capstone in one sentence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Pick a question that matters, earn a causal claim with a design rather than a regression, state your assumptions out loud, try hard to break your own result, and explain what you found in one honest sentence a decision-maker could act on.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Overview &amp; goal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The capstone is the final deliverable for Causal Inference in Practice. You will produce an original analysis that applies the course's five-step workflow from beginning to end. There is no single "right" answer; you are graded on whether the question, design, and evidence hang together and whether someone else could reproduce and trust your work.</w:t>
      </w:r>
    </w:p>
    <w:p>
      <w:pPr>
        <w:spacing w:after="120"/>
      </w:pPr>
      <w:r>
        <w:rPr>
          <w:rFonts w:ascii="Calibri" w:hAnsi="Calibri"/>
          <w:b/>
          <w:i w:val="0"/>
          <w:color w:val="222732"/>
          <w:sz w:val="22"/>
        </w:rPr>
        <w:t>The five-step workflow you are applying: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Question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State a precise causal question and the decision it informs.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Assumptions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Make the assumptions that would let data answer it explicit.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Identification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Choose a design that, under those assumptions, identifies the target estimand from observable data.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Estimation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Estimate the effect and quantify uncertainty honestly.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Validation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Stress-test the result with robustness and sensitivity checks, then communicate it with its caveats.</w:t>
      </w:r>
    </w:p>
    <w:p>
      <w:pPr>
        <w:spacing w:before="160" w:after="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/>
          <w:i w:val="0"/>
          <w:color w:val="2A9D8F"/>
          <w:sz w:val="22"/>
        </w:rPr>
        <w:t>What makes a capstone excellent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The design is chosen because of the data structure, not because it is familiar.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Every identifying assumption is argued for THIS problem, not recited in general.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You actively tried to overturn your own finding and reported what happened.</w:t>
      </w:r>
    </w:p>
    <w:p>
      <w:pPr>
        <w:spacing w:before="0" w:after="40"/>
        <w:shd w:val="clear" w:color="auto" w:fill="ECEEF2"/>
        <w:pBdr>
          <w:left w:val="single" w:sz="24" w:space="8" w:color="2A9D8F"/>
        </w:pBdr>
      </w:pPr>
      <w:r>
        <w:rPr>
          <w:rFonts w:ascii="Calibri" w:hAnsi="Calibri"/>
          <w:b w:val="0"/>
          <w:i w:val="0"/>
          <w:color w:val="222732"/>
          <w:sz w:val="21"/>
        </w:rPr>
        <w:t>A stranger can clone the repo and regenerate every number and figure with one command.</w:t>
      </w:r>
    </w:p>
    <w:p>
      <w:pPr>
        <w:spacing w:before="0" w:after="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Deliverables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1. A reproducible report (with code repository)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Length: </w:t>
      </w:r>
      <w:r>
        <w:rPr>
          <w:rFonts w:ascii="Calibri" w:hAnsi="Calibri"/>
          <w:b w:val="0"/>
          <w:i w:val="0"/>
          <w:color w:val="222732"/>
          <w:sz w:val="22"/>
        </w:rPr>
        <w:t>roughly 8–15 pages (or equivalent in a rendered notebook), excluding code appendices.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Structure: </w:t>
      </w:r>
      <w:r>
        <w:rPr>
          <w:rFonts w:ascii="Calibri" w:hAnsi="Calibri"/>
          <w:b w:val="0"/>
          <w:i w:val="0"/>
          <w:color w:val="222732"/>
          <w:sz w:val="22"/>
        </w:rPr>
        <w:t>follows the five-step workflow — question &amp; estimand, assumptions, identification (with a DAG), estimation &amp; uncertainty, robustness/sensitivity, and an honest conclusion with limitations.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Code repository: </w:t>
      </w:r>
      <w:r>
        <w:rPr>
          <w:rFonts w:ascii="Calibri" w:hAnsi="Calibri"/>
          <w:b w:val="0"/>
          <w:i w:val="0"/>
          <w:color w:val="222732"/>
          <w:sz w:val="22"/>
        </w:rPr>
        <w:t>a public or instructor-shared Git repo containing all code, a README, and either scripted data download or clearly documented data provenance.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2. A presentation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Format: </w:t>
      </w:r>
      <w:r>
        <w:rPr>
          <w:rFonts w:ascii="Calibri" w:hAnsi="Calibri"/>
          <w:b w:val="0"/>
          <w:i w:val="0"/>
          <w:color w:val="222732"/>
          <w:sz w:val="22"/>
        </w:rPr>
        <w:t>a 10–12 minute talk plus 5 minutes of questions, delivered live or recorded.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Focus: </w:t>
      </w:r>
      <w:r>
        <w:rPr>
          <w:rFonts w:ascii="Calibri" w:hAnsi="Calibri"/>
          <w:b w:val="0"/>
          <w:i w:val="0"/>
          <w:color w:val="222732"/>
          <w:sz w:val="22"/>
        </w:rPr>
        <w:t>the design and why it is credible — not a tour of code. Expect to defend your identifying assumptions under questioning.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Peer review: </w:t>
      </w:r>
      <w:r>
        <w:rPr>
          <w:rFonts w:ascii="Calibri" w:hAnsi="Calibri"/>
          <w:b w:val="0"/>
          <w:i w:val="0"/>
          <w:color w:val="222732"/>
          <w:sz w:val="22"/>
        </w:rPr>
        <w:t>each student writes one structured review of another team's project using this rubric.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Reproducibility requirements (non-negotiable)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Fixed seeds </w:t>
      </w:r>
      <w:r>
        <w:rPr>
          <w:rFonts w:ascii="Calibri" w:hAnsi="Calibri"/>
          <w:b w:val="0"/>
          <w:i w:val="0"/>
          <w:color w:val="222732"/>
          <w:sz w:val="22"/>
        </w:rPr>
        <w:t>for every stochastic step (sampling, bootstrap, cross-fitting, model init).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Logged environment </w:t>
      </w:r>
      <w:r>
        <w:rPr>
          <w:rFonts w:ascii="Calibri" w:hAnsi="Calibri"/>
          <w:b w:val="0"/>
          <w:i w:val="0"/>
          <w:color w:val="222732"/>
          <w:sz w:val="22"/>
        </w:rPr>
        <w:t>— a lockfile (requirements.txt / environment.yml / renv.lock) and recorded session info / language version.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One-command rebuild </w:t>
      </w:r>
      <w:r>
        <w:rPr>
          <w:rFonts w:ascii="Calibri" w:hAnsi="Calibri"/>
          <w:b w:val="0"/>
          <w:i w:val="0"/>
          <w:color w:val="222732"/>
          <w:sz w:val="22"/>
        </w:rPr>
        <w:t>— e.g. make all, quarto render, or a single run.sh / Jupyter "Run All" that regenerates every figure and number from raw data.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Versioned in Git </w:t>
      </w:r>
      <w:r>
        <w:rPr>
          <w:rFonts w:ascii="Calibri" w:hAnsi="Calibri"/>
          <w:b w:val="0"/>
          <w:i w:val="0"/>
          <w:color w:val="222732"/>
          <w:sz w:val="22"/>
        </w:rPr>
        <w:t>with a literate document (Quarto / R Markdown / Jupyter) so prose, code, and outputs live together.</w:t>
      </w:r>
    </w:p>
    <w:p>
      <w:pPr>
        <w:spacing w:before="160" w:after="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/>
          <w:i w:val="0"/>
          <w:color w:val="E9A23B"/>
          <w:sz w:val="22"/>
        </w:rPr>
        <w:t>Reproducibility smoke test</w:t>
      </w:r>
    </w:p>
    <w:p>
      <w:pPr>
        <w:spacing w:before="0" w:after="4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 w:val="0"/>
          <w:i w:val="0"/>
          <w:color w:val="222732"/>
          <w:sz w:val="21"/>
        </w:rPr>
        <w:t>Before you submit: clone your repo into a fresh directory, create the environment from the lockfile, run the one build command, and confirm the report regenerates with no manual fixes.</w:t>
      </w:r>
    </w:p>
    <w:p>
      <w:pPr>
        <w:spacing w:before="0" w:after="40"/>
        <w:shd w:val="clear" w:color="auto" w:fill="ECEEF2"/>
        <w:pBdr>
          <w:left w:val="single" w:sz="24" w:space="8" w:color="E9A23B"/>
        </w:pBdr>
      </w:pPr>
      <w:r>
        <w:rPr>
          <w:rFonts w:ascii="Calibri" w:hAnsi="Calibri"/>
          <w:b w:val="0"/>
          <w:i w:val="0"/>
          <w:color w:val="222732"/>
          <w:sz w:val="21"/>
        </w:rPr>
        <w:t>If it does not run for a stranger, it does not run.</w:t>
      </w:r>
    </w:p>
    <w:p>
      <w:pPr>
        <w:spacing w:before="0" w:after="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Timeline &amp; milestones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Weeks are suggestions relative to the 15-week schedule — start early; data wrangling and getting a clean build always take longer than expected.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Milestone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Suggested week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What is due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Topic + data identified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~Week 11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one-paragraph question and a confirmed, accessible data source.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Proposal submitted &amp; approved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~Week 12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The completed proposal template (see companion document); instructor sign-off on scope and design.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Mid-project check-in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~Week 13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Loaded data, a balance/overlap or design-validity diagnostic, and a first estimate; flag blockers.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Draft report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~Week 14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full draft that already builds end-to-end, even if numbers are still moving.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Final report + presentation + peer review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Week 15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Final reproducible report and repo, the talk, and your written peer review of another project.</w:t>
            </w:r>
          </w:p>
        </w:tc>
      </w:tr>
    </w:tbl>
    <w:p>
      <w:pPr>
        <w:spacing w:after="4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Choosing a design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The design should follow from how the data were generated and what variation in treatment you can credibly call as-good-as-random. Use this map as a starting point, then defend your choice in the proposal.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If your situation looks like…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Consider</w:t>
            </w:r>
          </w:p>
        </w:tc>
        <w:tc>
          <w:tcPr>
            <w:tcW w:type="dxa" w:w="3216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Key assumption to defend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You control assignment and can randomize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RCT / A-B test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Successful randomization; no interference; complete adherence (or analyze as assigned).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Rich observed confounders; overlap across treatment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Regression adjustment, matching, or propensity weighting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Conditional exchangeability (no unmeasured confounding) + positivity / overlap.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Confounders likely unobserved, but a valid instrument exists (incl. a genetic variant)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Instrumental variables / Mendelian randomization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Relevance, exclusion restriction, and independence of the instrument.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Treatment switches at a threshold of a running variable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Regression discontinuity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Continuity of potential outcomes at the cutoff; no manipulation of the running variable.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Panel data; a group is treated at a known time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Difference-in-differences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Parallel trends absent treatment; no anticipation; staggered-adoption bias addressed.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One (or few) treated units, many untreated, long pre-period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Synthetic control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weighted donor pool reproduces the pre-treatment trajectory; no spillovers to donors.</w:t>
            </w:r>
          </w:p>
        </w:tc>
      </w:tr>
      <w:tr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Many covariates; flexible nuisance models needed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Double / debiased machine learning (DML)</w:t>
            </w:r>
          </w:p>
        </w:tc>
        <w:tc>
          <w:tcPr>
            <w:tcW w:type="dxa" w:w="3216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Exchangeability + positivity, with cross-fitting and Neyman-orthogonal scores.</w:t>
            </w:r>
          </w:p>
        </w:tc>
      </w:tr>
      <w:tr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You need who-benefits, not just the average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Causal forests / meta-learners (CATE)</w:t>
            </w:r>
          </w:p>
        </w:tc>
        <w:tc>
          <w:tcPr>
            <w:tcW w:type="dxa" w:w="3216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Same identification as the base design, plus honest estimation of heterogeneity.</w:t>
            </w:r>
          </w:p>
        </w:tc>
      </w:tr>
    </w:tbl>
    <w:p>
      <w:pPr>
        <w:spacing w:after="4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Example project ideas</w:t>
      </w:r>
    </w:p>
    <w:p>
      <w:pPr>
        <w:spacing w:after="120"/>
      </w:pPr>
      <w:r>
        <w:rPr>
          <w:rFonts w:ascii="Calibri" w:hAnsi="Calibri"/>
          <w:b w:val="0"/>
          <w:i/>
          <w:color w:val="222732"/>
          <w:sz w:val="22"/>
        </w:rPr>
        <w:t>Concrete starting points across domains. Treat each as a prompt to sharpen into a precise question and estimand — not a finished design.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Epidemiology / clinical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1. </w:t>
      </w:r>
      <w:r>
        <w:rPr>
          <w:rFonts w:ascii="Calibri" w:hAnsi="Calibri"/>
          <w:b/>
          <w:i w:val="0"/>
          <w:color w:val="222732"/>
          <w:sz w:val="22"/>
        </w:rPr>
        <w:t>Statins and cardiovascular events in observational EHR data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Use propensity weighting or matching to estimate the ATT of statin initiation; defend overlap and no-unmeasured-confounding, and probe with negative-control outcomes.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2. </w:t>
      </w:r>
      <w:r>
        <w:rPr>
          <w:rFonts w:ascii="Calibri" w:hAnsi="Calibri"/>
          <w:b/>
          <w:i w:val="0"/>
          <w:color w:val="222732"/>
          <w:sz w:val="22"/>
        </w:rPr>
        <w:t>Effect of an ICU protocol change on length of stay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Exploit a hospital that switched protocols on a known date (difference-in-differences) against comparable units; test parallel trends in the pre-period.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Economics / policy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3. </w:t>
      </w:r>
      <w:r>
        <w:rPr>
          <w:rFonts w:ascii="Calibri" w:hAnsi="Calibri"/>
          <w:b/>
          <w:i w:val="0"/>
          <w:color w:val="222732"/>
          <w:sz w:val="22"/>
        </w:rPr>
        <w:t>Minimum-wage change on county-level employment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Difference-in-differences or synthetic control across a state border or policy boundary; address staggered adoption and spillovers.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4. </w:t>
      </w:r>
      <w:r>
        <w:rPr>
          <w:rFonts w:ascii="Calibri" w:hAnsi="Calibri"/>
          <w:b/>
          <w:i w:val="0"/>
          <w:color w:val="222732"/>
          <w:sz w:val="22"/>
        </w:rPr>
        <w:t>A merit-scholarship cutoff on college enrollment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Regression discontinuity at the eligibility test-score threshold; check for manipulation (density test) and covariate continuity.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Tech experimentation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5. </w:t>
      </w:r>
      <w:r>
        <w:rPr>
          <w:rFonts w:ascii="Calibri" w:hAnsi="Calibri"/>
          <w:b/>
          <w:i w:val="0"/>
          <w:color w:val="222732"/>
          <w:sz w:val="22"/>
        </w:rPr>
        <w:t>A recommender or onboarding change on retention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Analyze an A-B test (or an encouragement design if uptake is voluntary, estimating a LATE); handle interference and novelty/primacy effects.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6. </w:t>
      </w:r>
      <w:r>
        <w:rPr>
          <w:rFonts w:ascii="Calibri" w:hAnsi="Calibri"/>
          <w:b/>
          <w:i w:val="0"/>
          <w:color w:val="222732"/>
          <w:sz w:val="22"/>
        </w:rPr>
        <w:t>Heterogeneous treatment effects of a pricing experiment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Use causal forests / a meta-learner on experiment data to estimate CATEs and target who benefits, with honest splitting.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Genomics / Mendelian randomization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7. </w:t>
      </w:r>
      <w:r>
        <w:rPr>
          <w:rFonts w:ascii="Calibri" w:hAnsi="Calibri"/>
          <w:b/>
          <w:i w:val="0"/>
          <w:color w:val="222732"/>
          <w:sz w:val="22"/>
        </w:rPr>
        <w:t>A modifiable exposure (e.g. LDL cholesterol or BMI) on disease risk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Two-sample Mendelian randomization using public GWAS summary statistics; assess pleiotropy with MR-Egger / weighted-median and a leave-one-out analysis.</w:t>
      </w:r>
    </w:p>
    <w:p>
      <w:pPr>
        <w:spacing w:before="120" w:after="40"/>
      </w:pPr>
      <w:r>
        <w:rPr>
          <w:rFonts w:ascii="Calibri" w:hAnsi="Calibri"/>
          <w:b/>
          <w:i w:val="0"/>
          <w:color w:val="2F6DB5"/>
          <w:sz w:val="22"/>
        </w:rPr>
        <w:t xml:space="preserve">8. </w:t>
      </w:r>
      <w:r>
        <w:rPr>
          <w:rFonts w:ascii="Calibri" w:hAnsi="Calibri"/>
          <w:b/>
          <w:i w:val="0"/>
          <w:color w:val="222732"/>
          <w:sz w:val="22"/>
        </w:rPr>
        <w:t>Effect of a biomarker on an outcome via a genetic instrument</w:t>
      </w:r>
    </w:p>
    <w:p>
      <w:pPr>
        <w:spacing w:after="80"/>
      </w:pPr>
      <w:r>
        <w:rPr>
          <w:rFonts w:ascii="Calibri" w:hAnsi="Calibri"/>
          <w:b w:val="0"/>
          <w:i w:val="0"/>
          <w:color w:val="222732"/>
          <w:sz w:val="22"/>
        </w:rPr>
        <w:t>IV / MR with explicit defense of relevance, exclusion, and independence; report instrument strength (F-statistic).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Scope guardrails &amp; data sources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Scope guardrails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One causal question, one primary estimand. Resist scope creep into a second analysis.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Prefer a small, clean, well-understood dataset over a large messy one — credibility beats size.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Confirm the data are accessible and the design is feasible BEFORE the proposal is approved.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Simulated or semi-synthetic data with a known ground truth is welcome, especially to validate your estimator.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222732"/>
          <w:sz w:val="22"/>
        </w:rPr>
        <w:t>Respect data licenses and privacy; never submit restricted or identifiable data to a shared repo.</w:t>
      </w:r>
    </w:p>
    <w:p>
      <w:pPr>
        <w:spacing w:before="200" w:after="40"/>
      </w:pPr>
      <w:r>
        <w:rPr>
          <w:rFonts w:ascii="Calibri" w:hAnsi="Calibri"/>
          <w:b/>
          <w:i w:val="0"/>
          <w:color w:val="2F6DB5"/>
          <w:sz w:val="26"/>
        </w:rPr>
        <w:t>Public dataset suggestions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Health / epi: </w:t>
      </w:r>
      <w:r>
        <w:rPr>
          <w:rFonts w:ascii="Calibri" w:hAnsi="Calibri"/>
          <w:b w:val="0"/>
          <w:i w:val="0"/>
          <w:color w:val="222732"/>
          <w:sz w:val="22"/>
        </w:rPr>
        <w:t>NHANES, MIMIC (credentialed), SEER, CDC WONDER, UK Biobank (approved access).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Economics / policy: </w:t>
      </w:r>
      <w:r>
        <w:rPr>
          <w:rFonts w:ascii="Calibri" w:hAnsi="Calibri"/>
          <w:b w:val="0"/>
          <w:i w:val="0"/>
          <w:color w:val="222732"/>
          <w:sz w:val="22"/>
        </w:rPr>
        <w:t>IPUMS / CPS, World Bank, FRED, OECD, Eurostat, data.gov.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Genomics / MR: </w:t>
      </w:r>
      <w:r>
        <w:rPr>
          <w:rFonts w:ascii="Calibri" w:hAnsi="Calibri"/>
          <w:b w:val="0"/>
          <w:i w:val="0"/>
          <w:color w:val="222732"/>
          <w:sz w:val="22"/>
        </w:rPr>
        <w:t>GWAS Catalog, IEU OpenGWAS, MR-Base, GTEx.</w:t>
      </w:r>
    </w:p>
    <w:p>
      <w:pPr>
        <w:pStyle w:val="ListBullet"/>
        <w:spacing w:after="60"/>
      </w:pPr>
      <w:r>
        <w:rPr>
          <w:rFonts w:ascii="Calibri" w:hAnsi="Calibri"/>
          <w:b/>
          <w:i w:val="0"/>
          <w:color w:val="222732"/>
          <w:sz w:val="22"/>
        </w:rPr>
        <w:t xml:space="preserve">Benchmarks / teaching: </w:t>
      </w:r>
      <w:r>
        <w:rPr>
          <w:rFonts w:ascii="Calibri" w:hAnsi="Calibri"/>
          <w:b w:val="0"/>
          <w:i w:val="0"/>
          <w:color w:val="222732"/>
          <w:sz w:val="22"/>
        </w:rPr>
        <w:t>LaLonde / NSW jobs data, IHDP, ACIC data-challenge datasets, Lalonde-style replication sets.</w:t>
      </w: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AI use &amp; academic-integrity policy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AI assistants are permitted as an aid, with disclosure. They are good at scaffolding code, drafting prose, and surfacing methods — and bad at knowing whether YOUR assumptions hold. The intellectual responsibility is entirely yours.</w:t>
      </w:r>
    </w:p>
    <w:p>
      <w:pPr>
        <w:spacing w:before="160" w:after="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/>
          <w:i w:val="0"/>
          <w:color w:val="C0504D"/>
          <w:sz w:val="22"/>
        </w:rPr>
        <w:t>The rule: you must be able to defend every line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Permitted: AI for boilerplate code, debugging, literature pointers, and prose polishing.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Required: a short "AI use" note in the report stating what tools you used and for what.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The bar: in the presentation and viva you must be able to explain and justify every assumption, estimator, and line of code as your own work.</w:t>
      </w:r>
    </w:p>
    <w:p>
      <w:pPr>
        <w:spacing w:before="0" w:after="40"/>
        <w:shd w:val="clear" w:color="auto" w:fill="ECEEF2"/>
        <w:pBdr>
          <w:left w:val="single" w:sz="24" w:space="8" w:color="C0504D"/>
        </w:pBdr>
      </w:pPr>
      <w:r>
        <w:rPr>
          <w:rFonts w:ascii="Calibri" w:hAnsi="Calibri"/>
          <w:b w:val="0"/>
          <w:i w:val="0"/>
          <w:color w:val="222732"/>
          <w:sz w:val="21"/>
        </w:rPr>
        <w:t>Not permitted: fabricated data or results, undisclosed AI-generated analysis you cannot defend, or copying another project's design.</w:t>
      </w:r>
    </w:p>
    <w:p>
      <w:pPr>
        <w:spacing w:before="0" w:after="0"/>
      </w:pPr>
    </w:p>
    <w:p>
      <w:pPr>
        <w:spacing w:before="320" w:after="80"/>
        <w:pBdr>
          <w:left w:val="single" w:sz="18" w:space="8" w:color="2F6DB5"/>
        </w:pBdr>
        <w:ind w:left="115"/>
      </w:pPr>
      <w:r>
        <w:rPr>
          <w:rFonts w:ascii="Calibri" w:hAnsi="Calibri"/>
          <w:b/>
          <w:i w:val="0"/>
          <w:color w:val="1F2A44"/>
          <w:sz w:val="32"/>
        </w:rPr>
        <w:t>Grading rubric</w:t>
      </w:r>
    </w:p>
    <w:p>
      <w:pPr>
        <w:spacing w:after="120"/>
      </w:pPr>
      <w:r>
        <w:rPr>
          <w:rFonts w:ascii="Calibri" w:hAnsi="Calibri"/>
          <w:b w:val="0"/>
          <w:i w:val="0"/>
          <w:color w:val="222732"/>
          <w:sz w:val="22"/>
        </w:rPr>
        <w:t>The capstone is worth 30% of the course grade. Each criterion is scored against the descriptions below; weights sum to 100%. The same rubric structures the peer review.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Criterion</w:t>
            </w:r>
          </w:p>
        </w:tc>
        <w:tc>
          <w:tcPr>
            <w:tcW w:type="dxa" w:w="1930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Weight</w:t>
            </w:r>
          </w:p>
        </w:tc>
        <w:tc>
          <w:tcPr>
            <w:tcW w:type="dxa" w:w="1930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Excellent</w:t>
            </w:r>
          </w:p>
        </w:tc>
        <w:tc>
          <w:tcPr>
            <w:tcW w:type="dxa" w:w="1930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Adequate</w:t>
            </w:r>
          </w:p>
        </w:tc>
        <w:tc>
          <w:tcPr>
            <w:tcW w:type="dxa" w:w="1930"/>
            <w:shd w:val="clear" w:color="auto" w:fill="1F2A44"/>
          </w:tcPr>
          <w:p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Weak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Question &amp; estimand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15%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sharp, decision-relevant causal question; the target estimand (ATE / ATT / LATE / CATE) and the population are defined precisely, with units, treatment and outcome unambiguous.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reasonable question and a named estimand, but the population or the contrast is left somewhat vague.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Question is associational or unclear; no explicit estimand; treatment/outcome/population not pinned down.</w:t>
            </w:r>
          </w:p>
        </w:tc>
      </w:tr>
      <w:tr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Identification strategy &amp; assumptions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20%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Design fits the data structure; a DAG makes the strategy explicit; every identifying assumption (exchangeability, positivity, SUTVA, exclusion, parallel trends, continuity, …) is stated and justified for THIS problem.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A defensible design with most assumptions stated, but one or two are asserted rather than argued, or the DAG is incomplete.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No clear identification argument; assumptions missing, hand-waved, or plainly violated; confounding/selection ignored.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Estimation &amp; uncertainty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15%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Estimator matches the design and estimand; uncertainty is quantified correctly (appropriate / clustered / bootstrap SEs); results read as effects with intervals, not just p-values.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Sensible estimator and intervals, with minor mismatches in SE choice or interpretation.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Estimator does not target the estimand; uncertainty missing or wrong; point estimates reported with false precision.</w:t>
            </w:r>
          </w:p>
        </w:tc>
      </w:tr>
      <w:tr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Robustness &amp; sensitivity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15%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Pre-stated checks probe the key threats (placebo / negative controls, alternative specifications, E-value or Rosenbaum-style sensitivity, balance / overlap diagnostics); the headline result survives or the limits are stated honestly.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Some robustness checks run, but they miss the most important threat or are reported without interpretation.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No robustness or sensitivity analysis; conclusions presented as if the assumptions were known to hold.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Reproducibility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15%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One-command rebuild from a clean checkout; fixed seeds; environment logged (lockfile / session info); data acquisition scripted or documented; Git history is clean and the repo runs end-to-end.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Repo runs with minor manual steps; seeds set; environment described but not fully pinned.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Cannot be reproduced: missing code/data, no seeds, undocumented environment, or results that do not regenerate.</w:t>
            </w:r>
          </w:p>
        </w:tc>
      </w:tr>
      <w:tr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Communication / report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12%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Tight narrative through the 5-step workflow; figures and tables are self-explanatory; one honest, caveated sentence a decision-maker could act on; limitations stated plainly.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Clear and mostly complete, but uneven in places or over-claims slightly in the conclusion.</w:t>
            </w:r>
          </w:p>
        </w:tc>
        <w:tc>
          <w:tcPr>
            <w:tcW w:type="dxa" w:w="1930"/>
            <w:shd w:val="clear" w:color="auto" w:fill="ECEEF2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Disorganized or padded; figures unlabeled; conclusion overstates what the design can support.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Presentation &amp; peer review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8%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Confident, well-paced talk that defends the design under questioning; submits substantive, constructive peer review of another project.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Solid talk and a fair peer review, with some questions handled shakily.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 w:val="0"/>
                <w:i w:val="0"/>
                <w:color w:val="222732"/>
                <w:sz w:val="21"/>
              </w:rPr>
              <w:t>Talk does not convey the design or cannot answer basic questions; peer review absent or superficial.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/>
          <w:b/>
          <w:i/>
          <w:color w:val="222732"/>
          <w:sz w:val="22"/>
        </w:rPr>
        <w:t xml:space="preserve">Total: 100%. </w:t>
      </w:r>
      <w:r>
        <w:rPr>
          <w:rFonts w:ascii="Calibri" w:hAnsi="Calibri"/>
          <w:b w:val="0"/>
          <w:i/>
          <w:color w:val="222732"/>
          <w:sz w:val="22"/>
        </w:rPr>
        <w:t>A project that is brilliant but irreproducible, or reproducible but associational, cannot score well — credibility and reproducibility are weighted to matter.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73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