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pPr>
      <w:r>
        <w:rPr>
          <w:rFonts w:ascii="Cambria" w:cs="Cambria" w:eastAsia="Cambria" w:hAnsi="Cambria"/>
          <w:b/>
          <w:bCs/>
          <w:color w:val="0B6A6E"/>
          <w:sz w:val="20"/>
          <w:szCs w:val="20"/>
        </w:rPr>
        <w:t xml:space="preserve">Graduate Seminar · 4 credits</w:t>
      </w:r>
    </w:p>
    <w:p>
      <w:pPr>
        <w:spacing w:after="60"/>
      </w:pPr>
      <w:r>
        <w:rPr>
          <w:rFonts w:ascii="Cambria" w:cs="Cambria" w:eastAsia="Cambria" w:hAnsi="Cambria"/>
          <w:b/>
          <w:bCs/>
          <w:color w:val="15203A"/>
          <w:sz w:val="52"/>
          <w:szCs w:val="52"/>
        </w:rPr>
        <w:t xml:space="preserve">Causal Inference in Practice</w:t>
      </w:r>
    </w:p>
    <w:p>
      <w:pPr>
        <w:pBdr>
          <w:bottom w:val="single" w:color="C8821F" w:sz="14" w:space="6"/>
        </w:pBdr>
        <w:spacing w:after="240"/>
      </w:pPr>
      <w:r>
        <w:rPr>
          <w:rFonts w:ascii="Calibri" w:cs="Calibri" w:eastAsia="Calibri" w:hAnsi="Calibri"/>
          <w:i/>
          <w:iCs/>
          <w:color w:val="5B6B82"/>
          <w:sz w:val="24"/>
          <w:szCs w:val="24"/>
        </w:rPr>
        <w:t xml:space="preserve">From the causal question to a defensible, reproducible answer</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b/>
                <w:bCs/>
                <w:color w:val="0B6A6E"/>
                <w:sz w:val="20"/>
                <w:szCs w:val="20"/>
              </w:rPr>
              <w:t xml:space="preserve">Course number</w:t>
            </w:r>
          </w:p>
        </w:tc>
        <w:tc>
          <w:tcPr>
            <w:tcW w:type="dxa" w:w="696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color w:val="20304A"/>
                <w:sz w:val="20"/>
                <w:szCs w:val="20"/>
              </w:rPr>
              <w:t xml:space="preserve">STAT/BIOS 6xx — cross-listed (Statistics, Biostatistics, Data Science)</w:t>
            </w:r>
          </w:p>
        </w:tc>
      </w:tr>
      <w:tr>
        <w:tc>
          <w:tcPr>
            <w:tcW w:type="dxa" w:w="240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b/>
                <w:bCs/>
                <w:color w:val="0B6A6E"/>
                <w:sz w:val="20"/>
                <w:szCs w:val="20"/>
              </w:rPr>
              <w:t xml:space="preserve">Credits</w:t>
            </w:r>
          </w:p>
        </w:tc>
        <w:tc>
          <w:tcPr>
            <w:tcW w:type="dxa" w:w="696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color w:val="20304A"/>
                <w:sz w:val="20"/>
                <w:szCs w:val="20"/>
              </w:rPr>
              <w:t xml:space="preserve">4 · one 90-minute lecture + one 90-minute lab/discussion per week</w:t>
            </w:r>
          </w:p>
        </w:tc>
      </w:tr>
      <w:tr>
        <w:tc>
          <w:tcPr>
            <w:tcW w:type="dxa" w:w="240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b/>
                <w:bCs/>
                <w:color w:val="0B6A6E"/>
                <w:sz w:val="20"/>
                <w:szCs w:val="20"/>
              </w:rPr>
              <w:t xml:space="preserve">Term</w:t>
            </w:r>
          </w:p>
        </w:tc>
        <w:tc>
          <w:tcPr>
            <w:tcW w:type="dxa" w:w="696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color w:val="20304A"/>
                <w:sz w:val="20"/>
                <w:szCs w:val="20"/>
              </w:rPr>
              <w:t xml:space="preserve">15 weeks · [Fall/Spring 20XX]</w:t>
            </w:r>
          </w:p>
        </w:tc>
      </w:tr>
      <w:tr>
        <w:tc>
          <w:tcPr>
            <w:tcW w:type="dxa" w:w="240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b/>
                <w:bCs/>
                <w:color w:val="0B6A6E"/>
                <w:sz w:val="20"/>
                <w:szCs w:val="20"/>
              </w:rPr>
              <w:t xml:space="preserve">Format</w:t>
            </w:r>
          </w:p>
        </w:tc>
        <w:tc>
          <w:tcPr>
            <w:tcW w:type="dxa" w:w="696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color w:val="20304A"/>
                <w:sz w:val="20"/>
                <w:szCs w:val="20"/>
              </w:rPr>
              <w:t xml:space="preserve">In-person lecture; computer lab; weekly at-home self-study packet</w:t>
            </w:r>
          </w:p>
        </w:tc>
      </w:tr>
      <w:tr>
        <w:tc>
          <w:tcPr>
            <w:tcW w:type="dxa" w:w="240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b/>
                <w:bCs/>
                <w:color w:val="0B6A6E"/>
                <w:sz w:val="20"/>
                <w:szCs w:val="20"/>
              </w:rPr>
              <w:t xml:space="preserve">Prerequisites</w:t>
            </w:r>
          </w:p>
        </w:tc>
        <w:tc>
          <w:tcPr>
            <w:tcW w:type="dxa" w:w="696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color w:val="20304A"/>
                <w:sz w:val="20"/>
                <w:szCs w:val="20"/>
              </w:rPr>
              <w:t xml:space="preserve">Probability &amp; statistics through regression; working R or Python</w:t>
            </w:r>
          </w:p>
        </w:tc>
      </w:tr>
      <w:tr>
        <w:tc>
          <w:tcPr>
            <w:tcW w:type="dxa" w:w="240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b/>
                <w:bCs/>
                <w:color w:val="0B6A6E"/>
                <w:sz w:val="20"/>
                <w:szCs w:val="20"/>
              </w:rPr>
              <w:t xml:space="preserve">Instructor</w:t>
            </w:r>
          </w:p>
        </w:tc>
        <w:tc>
          <w:tcPr>
            <w:tcW w:type="dxa" w:w="696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color w:val="20304A"/>
                <w:sz w:val="20"/>
                <w:szCs w:val="20"/>
              </w:rPr>
              <w:t xml:space="preserve">[Name] · [email] · office hours [day/time/location]</w:t>
            </w:r>
          </w:p>
        </w:tc>
      </w:tr>
      <w:tr>
        <w:tc>
          <w:tcPr>
            <w:tcW w:type="dxa" w:w="240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b/>
                <w:bCs/>
                <w:color w:val="0B6A6E"/>
                <w:sz w:val="20"/>
                <w:szCs w:val="20"/>
              </w:rPr>
              <w:t xml:space="preserve">Teaching asst.</w:t>
            </w:r>
          </w:p>
        </w:tc>
        <w:tc>
          <w:tcPr>
            <w:tcW w:type="dxa" w:w="696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color w:val="20304A"/>
                <w:sz w:val="20"/>
                <w:szCs w:val="20"/>
              </w:rPr>
              <w:t xml:space="preserve">[Name] · [email] · lab + grading support</w:t>
            </w:r>
          </w:p>
        </w:tc>
      </w:tr>
      <w:tr>
        <w:tc>
          <w:tcPr>
            <w:tcW w:type="dxa" w:w="240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b/>
                <w:bCs/>
                <w:color w:val="0B6A6E"/>
                <w:sz w:val="20"/>
                <w:szCs w:val="20"/>
              </w:rPr>
              <w:t xml:space="preserve">Course site</w:t>
            </w:r>
          </w:p>
        </w:tc>
        <w:tc>
          <w:tcPr>
            <w:tcW w:type="dxa" w:w="6960"/>
            <w:tcBorders>
              <w:top w:val="none"/>
              <w:left w:val="none"/>
              <w:bottom w:val="none"/>
              <w:right w:val="none"/>
            </w:tcBorders>
            <w:tcMar>
              <w:top w:type="dxa" w:w="30"/>
              <w:left w:type="dxa" w:w="0"/>
              <w:bottom w:type="dxa" w:w="30"/>
              <w:right w:type="dxa" w:w="120"/>
            </w:tcMar>
          </w:tcPr>
          <w:p>
            <w:pPr>
              <w:spacing w:after="0"/>
            </w:pPr>
            <w:r>
              <w:rPr>
                <w:rFonts w:ascii="Calibri" w:cs="Calibri" w:eastAsia="Calibri" w:hAnsi="Calibri"/>
                <w:color w:val="20304A"/>
                <w:sz w:val="20"/>
                <w:szCs w:val="20"/>
              </w:rPr>
              <w:t xml:space="preserve">[LMS link] · code &amp; data: [GitHub organization]</w:t>
            </w:r>
          </w:p>
        </w:tc>
      </w:tr>
    </w:tbl>
    <w:p>
      <w:pPr>
        <w:spacing w:after="80" w:before="320"/>
      </w:pPr>
      <w:r>
        <w:rPr>
          <w:rFonts w:ascii="Cambria" w:cs="Cambria" w:eastAsia="Cambria" w:hAnsi="Cambria"/>
          <w:b/>
          <w:bCs/>
          <w:color w:val="15203A"/>
          <w:sz w:val="26"/>
          <w:szCs w:val="26"/>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0E8388" w:sz="10" w:space="4"/>
        </w:pBdr>
        <w:spacing w:after="140" w:before="320"/>
      </w:pPr>
      <w:r>
        <w:rPr>
          <w:rFonts w:ascii="Cambria" w:cs="Cambria" w:eastAsia="Cambria" w:hAnsi="Cambria"/>
          <w:b/>
          <w:bCs/>
          <w:color w:val="15203A"/>
          <w:sz w:val="30"/>
          <w:szCs w:val="30"/>
        </w:rPr>
        <w:t xml:space="preserve">Course description</w:t>
      </w:r>
    </w:p>
    <w:p>
      <w:pPr>
        <w:spacing w:after="120" w:line="276"/>
      </w:pPr>
      <w:r>
        <w:rPr>
          <w:rFonts w:ascii="Calibri" w:cs="Calibri" w:eastAsia="Calibri" w:hAnsi="Calibri"/>
          <w:color w:val="20304A"/>
          <w:sz w:val="21"/>
          <w:szCs w:val="21"/>
        </w:rPr>
        <w:t xml:space="preserve">Most data-analysis training answers the question “what is associated with what?” This course answers a harder and more useful one: “what happens if we intervene?” Over fifteen weeks you will learn the modern toolkit of causal inference — potential outcomes, causal graphs, and the family of designs that recover causal effects from experimental and observational data — and you will apply each tool to a real dataset the same week you meet it.</w:t>
      </w:r>
    </w:p>
    <w:p>
      <w:pPr>
        <w:spacing w:after="120" w:line="276"/>
      </w:pPr>
      <w:r>
        <w:rPr>
          <w:rFonts w:ascii="Calibri" w:cs="Calibri" w:eastAsia="Calibri" w:hAnsi="Calibri"/>
          <w:color w:val="20304A"/>
          <w:sz w:val="21"/>
          <w:szCs w:val="21"/>
        </w:rPr>
        <w:t xml:space="preserve">The guiding principle is that a causal claim is only as good as the assumptions behind it. Every method is taught as a pairing: an assumption you must defend, and an estimator that delivers an answer once the assumption holds. By the end you will be able to take a vague question from a colleague or a stakeholder, translate it into a precise estimand, choose a credible identification strategy, estimate the effect with appropriate uncertainty, and communicate it honestly — all in a reproducible pipeline.</w:t>
      </w:r>
    </w:p>
    <w:p>
      <w:pPr>
        <w:spacing w:after="60" w:line="276"/>
      </w:pPr>
      <w:r>
        <w:rPr>
          <w:rFonts w:ascii="Calibri" w:cs="Calibri" w:eastAsia="Calibri" w:hAnsi="Calibri"/>
          <w:color w:val="20304A"/>
          <w:sz w:val="21"/>
          <w:szCs w:val="21"/>
        </w:rPr>
        <w:t xml:space="preserve">Examples are drawn from across the empirical sciences — epidemiology and clinical trials, economics and public policy, and technology experimentation — so that students from quantitative, biomedical, and social-science backgrounds all find familiar ground and learn to read each other's evidence.</w:t>
      </w:r>
    </w:p>
    <w:p>
      <w:pPr>
        <w:pStyle w:val="Heading1"/>
        <w:pBdr>
          <w:bottom w:val="single" w:color="0E8388" w:sz="10" w:space="4"/>
        </w:pBdr>
        <w:spacing w:after="140" w:before="320"/>
      </w:pPr>
      <w:r>
        <w:rPr>
          <w:rFonts w:ascii="Cambria" w:cs="Cambria" w:eastAsia="Cambria" w:hAnsi="Cambria"/>
          <w:b/>
          <w:bCs/>
          <w:color w:val="15203A"/>
          <w:sz w:val="30"/>
          <w:szCs w:val="30"/>
        </w:rPr>
        <w:t xml:space="preserve">Learning outcomes</w:t>
      </w:r>
    </w:p>
    <w:p>
      <w:pPr>
        <w:spacing w:after="80" w:line="276"/>
      </w:pPr>
      <w:r>
        <w:rPr>
          <w:rFonts w:ascii="Calibri" w:cs="Calibri" w:eastAsia="Calibri" w:hAnsi="Calibri"/>
          <w:color w:val="20304A"/>
          <w:sz w:val="21"/>
          <w:szCs w:val="21"/>
        </w:rPr>
        <w:t xml:space="preserve">On completing the course, students will be able to:</w:t>
      </w:r>
    </w:p>
    <w:p>
      <w:pPr>
        <w:pStyle w:val="ListParagraph"/>
        <w:numPr>
          <w:ilvl w:val="0"/>
          <w:numId w:val="2"/>
        </w:numPr>
        <w:spacing w:after="60" w:line="268"/>
      </w:pPr>
      <w:r>
        <w:rPr>
          <w:rFonts w:ascii="Calibri" w:cs="Calibri" w:eastAsia="Calibri" w:hAnsi="Calibri"/>
          <w:color w:val="20304A"/>
          <w:sz w:val="21"/>
          <w:szCs w:val="21"/>
        </w:rPr>
        <w:t xml:space="preserve">Distinguish prediction from intervention and state when an estimate supports a causal claim.</w:t>
      </w:r>
    </w:p>
    <w:p>
      <w:pPr>
        <w:pStyle w:val="ListParagraph"/>
        <w:numPr>
          <w:ilvl w:val="0"/>
          <w:numId w:val="2"/>
        </w:numPr>
        <w:spacing w:after="60" w:line="268"/>
      </w:pPr>
      <w:r>
        <w:rPr>
          <w:rFonts w:ascii="Calibri" w:cs="Calibri" w:eastAsia="Calibri" w:hAnsi="Calibri"/>
          <w:color w:val="20304A"/>
          <w:sz w:val="21"/>
          <w:szCs w:val="21"/>
        </w:rPr>
        <w:t xml:space="preserve">Translate a substantive question into a formal estimand (ATE, ATT, CATE, LATE) and the assumptions that identify it.</w:t>
      </w:r>
    </w:p>
    <w:p>
      <w:pPr>
        <w:pStyle w:val="ListParagraph"/>
        <w:numPr>
          <w:ilvl w:val="0"/>
          <w:numId w:val="2"/>
        </w:numPr>
        <w:spacing w:after="60" w:line="268"/>
      </w:pPr>
      <w:r>
        <w:rPr>
          <w:rFonts w:ascii="Calibri" w:cs="Calibri" w:eastAsia="Calibri" w:hAnsi="Calibri"/>
          <w:color w:val="20304A"/>
          <w:sz w:val="21"/>
          <w:szCs w:val="21"/>
        </w:rPr>
        <w:t xml:space="preserve">Draw and interpret a directed acyclic graph, and use it to choose a valid adjustment set and avoid bad controls.</w:t>
      </w:r>
    </w:p>
    <w:p>
      <w:pPr>
        <w:pStyle w:val="ListParagraph"/>
        <w:numPr>
          <w:ilvl w:val="0"/>
          <w:numId w:val="2"/>
        </w:numPr>
        <w:spacing w:after="60" w:line="268"/>
      </w:pPr>
      <w:r>
        <w:rPr>
          <w:rFonts w:ascii="Calibri" w:cs="Calibri" w:eastAsia="Calibri" w:hAnsi="Calibri"/>
          <w:color w:val="20304A"/>
          <w:sz w:val="21"/>
          <w:szCs w:val="21"/>
        </w:rPr>
        <w:t xml:space="preserve">Select an appropriate design — randomization, matching/weighting, IV/MR, RD, DiD, or synthetic control — for a given question and data structure.</w:t>
      </w:r>
    </w:p>
    <w:p>
      <w:pPr>
        <w:pStyle w:val="ListParagraph"/>
        <w:numPr>
          <w:ilvl w:val="0"/>
          <w:numId w:val="2"/>
        </w:numPr>
        <w:spacing w:after="60" w:line="268"/>
      </w:pPr>
      <w:r>
        <w:rPr>
          <w:rFonts w:ascii="Calibri" w:cs="Calibri" w:eastAsia="Calibri" w:hAnsi="Calibri"/>
          <w:color w:val="20304A"/>
          <w:sz w:val="21"/>
          <w:szCs w:val="21"/>
        </w:rPr>
        <w:t xml:space="preserve">Apply modern machine-learning estimators (double ML, causal forests) for high-dimensional confounding and heterogeneous effects.</w:t>
      </w:r>
    </w:p>
    <w:p>
      <w:pPr>
        <w:pStyle w:val="ListParagraph"/>
        <w:numPr>
          <w:ilvl w:val="0"/>
          <w:numId w:val="2"/>
        </w:numPr>
        <w:spacing w:after="60" w:line="268"/>
      </w:pPr>
      <w:r>
        <w:rPr>
          <w:rFonts w:ascii="Calibri" w:cs="Calibri" w:eastAsia="Calibri" w:hAnsi="Calibri"/>
          <w:color w:val="20304A"/>
          <w:sz w:val="21"/>
          <w:szCs w:val="21"/>
        </w:rPr>
        <w:t xml:space="preserve">Run principled robustness and sensitivity analyses, and quantify the threat from unmeasured confounding.</w:t>
      </w:r>
    </w:p>
    <w:p>
      <w:pPr>
        <w:pStyle w:val="ListParagraph"/>
        <w:numPr>
          <w:ilvl w:val="0"/>
          <w:numId w:val="2"/>
        </w:numPr>
        <w:spacing w:after="60" w:line="268"/>
      </w:pPr>
      <w:r>
        <w:rPr>
          <w:rFonts w:ascii="Calibri" w:cs="Calibri" w:eastAsia="Calibri" w:hAnsi="Calibri"/>
          <w:color w:val="20304A"/>
          <w:sz w:val="21"/>
          <w:szCs w:val="21"/>
        </w:rPr>
        <w:t xml:space="preserve">Produce a fully reproducible analysis and communicate its findings and limitations to a non-technical decision-maker.</w:t>
      </w:r>
    </w:p>
    <w:p>
      <w:pPr>
        <w:pStyle w:val="Heading1"/>
        <w:pBdr>
          <w:bottom w:val="single" w:color="0E8388" w:sz="10" w:space="4"/>
        </w:pBdr>
        <w:spacing w:after="140" w:before="320"/>
      </w:pPr>
      <w:r>
        <w:rPr>
          <w:rFonts w:ascii="Cambria" w:cs="Cambria" w:eastAsia="Cambria" w:hAnsi="Cambria"/>
          <w:b/>
          <w:bCs/>
          <w:color w:val="15203A"/>
          <w:sz w:val="30"/>
          <w:szCs w:val="30"/>
        </w:rPr>
        <w:t xml:space="preserve">Textbooks &amp; materials</w:t>
      </w:r>
    </w:p>
    <w:p>
      <w:pPr>
        <w:spacing w:after="100" w:line="276"/>
      </w:pPr>
      <w:r>
        <w:rPr>
          <w:rFonts w:ascii="Calibri" w:cs="Calibri" w:eastAsia="Calibri" w:hAnsi="Calibri"/>
          <w:color w:val="20304A"/>
          <w:sz w:val="21"/>
          <w:szCs w:val="21"/>
        </w:rPr>
        <w:t xml:space="preserve">All primary texts are available free and legally online. Chapters are assigned weekly; no purchase is required.</w:t>
      </w:r>
    </w:p>
    <w:p>
      <w:pPr>
        <w:pStyle w:val="ListParagraph"/>
        <w:numPr>
          <w:ilvl w:val="0"/>
          <w:numId w:val="2"/>
        </w:numPr>
        <w:spacing w:after="60" w:line="268"/>
      </w:pPr>
      <w:r>
        <w:rPr>
          <w:rFonts w:ascii="Calibri" w:cs="Calibri" w:eastAsia="Calibri" w:hAnsi="Calibri"/>
          <w:b/>
          <w:bCs/>
          <w:color w:val="15203A"/>
          <w:sz w:val="21"/>
          <w:szCs w:val="21"/>
        </w:rPr>
        <w:t xml:space="preserve">Hernán &amp; Robins, </w:t>
      </w:r>
      <w:hyperlink w:history="1" r:id="rId9qtia_n78xzbduoz-5apc">
        <w:r>
          <w:rPr>
            <w:rStyle w:val="Hyperlink"/>
            <w:rFonts w:ascii="Calibri" w:cs="Calibri" w:eastAsia="Calibri" w:hAnsi="Calibri"/>
            <w:sz w:val="21"/>
            <w:szCs w:val="21"/>
          </w:rPr>
          <w:t xml:space="preserve">Causal Inference: What If</w:t>
        </w:r>
      </w:hyperlink>
      <w:r>
        <w:rPr>
          <w:rFonts w:ascii="Calibri" w:cs="Calibri" w:eastAsia="Calibri" w:hAnsi="Calibri"/>
          <w:color w:val="5B6B82"/>
          <w:sz w:val="21"/>
          <w:szCs w:val="21"/>
        </w:rPr>
        <w:t xml:space="preserve">  — the spine of the course.</w:t>
      </w:r>
    </w:p>
    <w:p>
      <w:pPr>
        <w:pStyle w:val="ListParagraph"/>
        <w:numPr>
          <w:ilvl w:val="0"/>
          <w:numId w:val="2"/>
        </w:numPr>
        <w:spacing w:after="60" w:line="268"/>
      </w:pPr>
      <w:r>
        <w:rPr>
          <w:rFonts w:ascii="Calibri" w:cs="Calibri" w:eastAsia="Calibri" w:hAnsi="Calibri"/>
          <w:b/>
          <w:bCs/>
          <w:color w:val="15203A"/>
          <w:sz w:val="21"/>
          <w:szCs w:val="21"/>
        </w:rPr>
        <w:t xml:space="preserve">Cunningham, </w:t>
      </w:r>
      <w:hyperlink w:history="1" r:id="rId2eg_p27duqzeseavsczoc">
        <w:r>
          <w:rPr>
            <w:rStyle w:val="Hyperlink"/>
            <w:rFonts w:ascii="Calibri" w:cs="Calibri" w:eastAsia="Calibri" w:hAnsi="Calibri"/>
            <w:sz w:val="21"/>
            <w:szCs w:val="21"/>
          </w:rPr>
          <w:t xml:space="preserve">Causal Inference: The Mixtape</w:t>
        </w:r>
      </w:hyperlink>
      <w:r>
        <w:rPr>
          <w:rFonts w:ascii="Calibri" w:cs="Calibri" w:eastAsia="Calibri" w:hAnsi="Calibri"/>
          <w:color w:val="5B6B82"/>
          <w:sz w:val="21"/>
          <w:szCs w:val="21"/>
        </w:rPr>
        <w:t xml:space="preserve">  — applied, code-forward.</w:t>
      </w:r>
    </w:p>
    <w:p>
      <w:pPr>
        <w:pStyle w:val="ListParagraph"/>
        <w:numPr>
          <w:ilvl w:val="0"/>
          <w:numId w:val="2"/>
        </w:numPr>
        <w:spacing w:after="60" w:line="268"/>
      </w:pPr>
      <w:r>
        <w:rPr>
          <w:rFonts w:ascii="Calibri" w:cs="Calibri" w:eastAsia="Calibri" w:hAnsi="Calibri"/>
          <w:b/>
          <w:bCs/>
          <w:color w:val="15203A"/>
          <w:sz w:val="21"/>
          <w:szCs w:val="21"/>
        </w:rPr>
        <w:t xml:space="preserve">Huntington-Klein, </w:t>
      </w:r>
      <w:hyperlink w:history="1" r:id="rIdxyrp8sqtndnpxgac2j9ht">
        <w:r>
          <w:rPr>
            <w:rStyle w:val="Hyperlink"/>
            <w:rFonts w:ascii="Calibri" w:cs="Calibri" w:eastAsia="Calibri" w:hAnsi="Calibri"/>
            <w:sz w:val="21"/>
            <w:szCs w:val="21"/>
          </w:rPr>
          <w:t xml:space="preserve">The Effect</w:t>
        </w:r>
      </w:hyperlink>
      <w:r>
        <w:rPr>
          <w:rFonts w:ascii="Calibri" w:cs="Calibri" w:eastAsia="Calibri" w:hAnsi="Calibri"/>
          <w:color w:val="5B6B82"/>
          <w:sz w:val="21"/>
          <w:szCs w:val="21"/>
        </w:rPr>
        <w:t xml:space="preserve">  — intuition-first, R &amp; Python.</w:t>
      </w:r>
    </w:p>
    <w:p>
      <w:pPr>
        <w:pStyle w:val="ListParagraph"/>
        <w:numPr>
          <w:ilvl w:val="0"/>
          <w:numId w:val="2"/>
        </w:numPr>
        <w:spacing w:after="60" w:line="268"/>
      </w:pPr>
      <w:r>
        <w:rPr>
          <w:rFonts w:ascii="Calibri" w:cs="Calibri" w:eastAsia="Calibri" w:hAnsi="Calibri"/>
          <w:b/>
          <w:bCs/>
          <w:color w:val="15203A"/>
          <w:sz w:val="21"/>
          <w:szCs w:val="21"/>
        </w:rPr>
        <w:t xml:space="preserve">Pearl, Glymour &amp; Jewell, </w:t>
      </w:r>
      <w:hyperlink w:history="1" r:id="rIdqwpy3hopohfi1zakkvnvi">
        <w:r>
          <w:rPr>
            <w:rStyle w:val="Hyperlink"/>
            <w:rFonts w:ascii="Calibri" w:cs="Calibri" w:eastAsia="Calibri" w:hAnsi="Calibri"/>
            <w:sz w:val="21"/>
            <w:szCs w:val="21"/>
          </w:rPr>
          <w:t xml:space="preserve">Causal Inference in Statistics: A Primer</w:t>
        </w:r>
      </w:hyperlink>
      <w:r>
        <w:rPr>
          <w:rFonts w:ascii="Calibri" w:cs="Calibri" w:eastAsia="Calibri" w:hAnsi="Calibri"/>
          <w:color w:val="5B6B82"/>
          <w:sz w:val="21"/>
          <w:szCs w:val="21"/>
        </w:rPr>
        <w:t xml:space="preserve">  — graphs &amp; the do-calculus.</w:t>
      </w:r>
    </w:p>
    <w:p>
      <w:pPr>
        <w:pStyle w:val="ListParagraph"/>
        <w:numPr>
          <w:ilvl w:val="0"/>
          <w:numId w:val="2"/>
        </w:numPr>
        <w:spacing w:after="60" w:line="268"/>
      </w:pPr>
      <w:r>
        <w:rPr>
          <w:rFonts w:ascii="Calibri" w:cs="Calibri" w:eastAsia="Calibri" w:hAnsi="Calibri"/>
          <w:b/>
          <w:bCs/>
          <w:color w:val="15203A"/>
          <w:sz w:val="21"/>
          <w:szCs w:val="21"/>
        </w:rPr>
        <w:t xml:space="preserve">Imbens &amp; Rubin, </w:t>
      </w:r>
      <w:r>
        <w:rPr>
          <w:rFonts w:ascii="Calibri" w:cs="Calibri" w:eastAsia="Calibri" w:hAnsi="Calibri"/>
          <w:i/>
          <w:iCs/>
          <w:color w:val="20304A"/>
          <w:sz w:val="21"/>
          <w:szCs w:val="21"/>
        </w:rPr>
        <w:t xml:space="preserve">Causal Inference for Statistics…</w:t>
      </w:r>
      <w:r>
        <w:rPr>
          <w:rFonts w:ascii="Calibri" w:cs="Calibri" w:eastAsia="Calibri" w:hAnsi="Calibri"/>
          <w:color w:val="5B6B82"/>
          <w:sz w:val="21"/>
          <w:szCs w:val="21"/>
        </w:rPr>
        <w:t xml:space="preserve">  — the potential-outcomes reference.</w:t>
      </w:r>
    </w:p>
    <w:p>
      <w:pPr>
        <w:pStyle w:val="ListParagraph"/>
        <w:numPr>
          <w:ilvl w:val="0"/>
          <w:numId w:val="2"/>
        </w:numPr>
        <w:spacing w:after="60" w:line="268"/>
      </w:pPr>
      <w:r>
        <w:rPr>
          <w:rFonts w:ascii="Calibri" w:cs="Calibri" w:eastAsia="Calibri" w:hAnsi="Calibri"/>
          <w:b/>
          <w:bCs/>
          <w:color w:val="15203A"/>
          <w:sz w:val="21"/>
          <w:szCs w:val="21"/>
        </w:rPr>
        <w:t xml:space="preserve">Angrist &amp; Pischke, </w:t>
      </w:r>
      <w:r>
        <w:rPr>
          <w:rFonts w:ascii="Calibri" w:cs="Calibri" w:eastAsia="Calibri" w:hAnsi="Calibri"/>
          <w:i/>
          <w:iCs/>
          <w:color w:val="20304A"/>
          <w:sz w:val="21"/>
          <w:szCs w:val="21"/>
        </w:rPr>
        <w:t xml:space="preserve">Mostly Harmless Econometrics</w:t>
      </w:r>
      <w:r>
        <w:rPr>
          <w:rFonts w:ascii="Calibri" w:cs="Calibri" w:eastAsia="Calibri" w:hAnsi="Calibri"/>
          <w:color w:val="5B6B82"/>
          <w:sz w:val="21"/>
          <w:szCs w:val="21"/>
        </w:rPr>
        <w:t xml:space="preserve">  — quasi-experimental designs.</w:t>
      </w:r>
    </w:p>
    <w:p>
      <w:pPr>
        <w:pStyle w:val="Heading2"/>
        <w:spacing w:after="100" w:before="240"/>
      </w:pPr>
      <w:r>
        <w:rPr>
          <w:rFonts w:ascii="Cambria" w:cs="Cambria" w:eastAsia="Cambria" w:hAnsi="Cambria"/>
          <w:b/>
          <w:bCs/>
          <w:color w:val="0B6A6E"/>
          <w:sz w:val="25"/>
          <w:szCs w:val="25"/>
        </w:rPr>
        <w:t xml:space="preserve">Software &amp; computing</w:t>
      </w:r>
    </w:p>
    <w:p>
      <w:pPr>
        <w:pStyle w:val="ListParagraph"/>
        <w:numPr>
          <w:ilvl w:val="0"/>
          <w:numId w:val="2"/>
        </w:numPr>
        <w:spacing w:after="60" w:line="268"/>
      </w:pPr>
      <w:r>
        <w:rPr>
          <w:rFonts w:ascii="Calibri" w:cs="Calibri" w:eastAsia="Calibri" w:hAnsi="Calibri"/>
          <w:b/>
          <w:bCs/>
          <w:color w:val="15203A"/>
          <w:sz w:val="21"/>
          <w:szCs w:val="21"/>
        </w:rPr>
        <w:t xml:space="preserve">R:  </w:t>
      </w:r>
      <w:r>
        <w:rPr>
          <w:rFonts w:ascii="Calibri" w:cs="Calibri" w:eastAsia="Calibri" w:hAnsi="Calibri"/>
          <w:color w:val="20304A"/>
          <w:sz w:val="21"/>
          <w:szCs w:val="21"/>
        </w:rPr>
        <w:t xml:space="preserve">dagitty, ggdag, MatchIt, WeightIt, cobalt, AER, fixest, rdrobust, did, tidysynth, grf, DoubleML, mediation.</w:t>
      </w:r>
    </w:p>
    <w:p>
      <w:pPr>
        <w:pStyle w:val="ListParagraph"/>
        <w:numPr>
          <w:ilvl w:val="0"/>
          <w:numId w:val="2"/>
        </w:numPr>
        <w:spacing w:after="60" w:line="268"/>
      </w:pPr>
      <w:r>
        <w:rPr>
          <w:rFonts w:ascii="Calibri" w:cs="Calibri" w:eastAsia="Calibri" w:hAnsi="Calibri"/>
          <w:b/>
          <w:bCs/>
          <w:color w:val="15203A"/>
          <w:sz w:val="21"/>
          <w:szCs w:val="21"/>
        </w:rPr>
        <w:t xml:space="preserve">Python:  </w:t>
      </w:r>
      <w:r>
        <w:rPr>
          <w:rFonts w:ascii="Calibri" w:cs="Calibri" w:eastAsia="Calibri" w:hAnsi="Calibri"/>
          <w:color w:val="20304A"/>
          <w:sz w:val="21"/>
          <w:szCs w:val="21"/>
        </w:rPr>
        <w:t xml:space="preserve">DoWhy, EconML, CausalML, statsmodels, linearmodels, causal-learn, pandas, scikit-learn.</w:t>
      </w:r>
    </w:p>
    <w:p>
      <w:pPr>
        <w:pStyle w:val="ListParagraph"/>
        <w:numPr>
          <w:ilvl w:val="0"/>
          <w:numId w:val="2"/>
        </w:numPr>
        <w:spacing w:after="60" w:line="268"/>
      </w:pPr>
      <w:r>
        <w:rPr>
          <w:rFonts w:ascii="Calibri" w:cs="Calibri" w:eastAsia="Calibri" w:hAnsi="Calibri"/>
          <w:b/>
          <w:bCs/>
          <w:color w:val="15203A"/>
          <w:sz w:val="21"/>
          <w:szCs w:val="21"/>
        </w:rPr>
        <w:t xml:space="preserve">Reproducibility:  </w:t>
      </w:r>
      <w:r>
        <w:rPr>
          <w:rFonts w:ascii="Calibri" w:cs="Calibri" w:eastAsia="Calibri" w:hAnsi="Calibri"/>
          <w:color w:val="20304A"/>
          <w:sz w:val="21"/>
          <w:szCs w:val="21"/>
        </w:rPr>
        <w:t xml:space="preserve">Git/GitHub for version control; Quarto or Jupyter for literate analysis; fixed random seeds and a logged session/environment for every result.</w:t>
      </w:r>
    </w:p>
    <w:p>
      <w:pPr>
        <w:pStyle w:val="Heading1"/>
        <w:pBdr>
          <w:bottom w:val="single" w:color="0E8388" w:sz="10" w:space="4"/>
        </w:pBdr>
        <w:spacing w:after="140" w:before="320"/>
      </w:pPr>
      <w:r>
        <w:rPr>
          <w:rFonts w:ascii="Cambria" w:cs="Cambria" w:eastAsia="Cambria" w:hAnsi="Cambria"/>
          <w:b/>
          <w:bCs/>
          <w:color w:val="15203A"/>
          <w:sz w:val="30"/>
          <w:szCs w:val="30"/>
        </w:rPr>
        <w:t xml:space="preserve">Assessment &amp; grading</w:t>
      </w:r>
    </w:p>
    <w:p>
      <w:pPr>
        <w:spacing w:after="120" w:line="276"/>
      </w:pPr>
      <w:r>
        <w:rPr>
          <w:rFonts w:ascii="Calibri" w:cs="Calibri" w:eastAsia="Calibri" w:hAnsi="Calibri"/>
          <w:color w:val="20304A"/>
          <w:sz w:val="21"/>
          <w:szCs w:val="21"/>
        </w:rPr>
        <w:t xml:space="preserve">Weekly problem sets build theory; weekly labs build implementation; the midterm consolidates the foundations; the capstone proves you can run a real analysis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rPr>
          <w:tblHeader/>
        </w:trPr>
        <w:tc>
          <w:tcPr>
            <w:tcW w:type="dxa" w:w="2600"/>
            <w:tcBorders>
              <w:top w:val="single" w:color="DCE3EC" w:sz="2"/>
              <w:left w:val="single" w:color="DCE3EC" w:sz="2"/>
              <w:bottom w:val="single" w:color="DCE3EC" w:sz="2"/>
              <w:right w:val="single" w:color="DCE3EC" w:sz="2"/>
            </w:tcBorders>
            <w:shd w:fill="0B6A6E" w:color="auto" w:val="clear"/>
            <w:tcMar>
              <w:top w:type="dxa" w:w="70"/>
              <w:left w:type="dxa" w:w="110"/>
              <w:bottom w:type="dxa" w:w="70"/>
              <w:right w:type="dxa" w:w="110"/>
            </w:tcMar>
            <w:vAlign w:val="center"/>
          </w:tcPr>
          <w:p>
            <w:pPr>
              <w:spacing w:after="0"/>
            </w:pPr>
            <w:r>
              <w:rPr>
                <w:rFonts w:ascii="Cambria" w:cs="Cambria" w:eastAsia="Cambria" w:hAnsi="Cambria"/>
                <w:b/>
                <w:bCs/>
                <w:color w:val="FFFFFF"/>
                <w:sz w:val="19"/>
                <w:szCs w:val="19"/>
              </w:rPr>
              <w:t xml:space="preserve">Component</w:t>
            </w:r>
          </w:p>
        </w:tc>
        <w:tc>
          <w:tcPr>
            <w:tcW w:type="dxa" w:w="1100"/>
            <w:tcBorders>
              <w:top w:val="single" w:color="DCE3EC" w:sz="2"/>
              <w:left w:val="single" w:color="DCE3EC" w:sz="2"/>
              <w:bottom w:val="single" w:color="DCE3EC" w:sz="2"/>
              <w:right w:val="single" w:color="DCE3EC" w:sz="2"/>
            </w:tcBorders>
            <w:shd w:fill="0B6A6E" w:color="auto" w:val="clear"/>
            <w:tcMar>
              <w:top w:type="dxa" w:w="70"/>
              <w:left w:type="dxa" w:w="110"/>
              <w:bottom w:type="dxa" w:w="70"/>
              <w:right w:type="dxa" w:w="110"/>
            </w:tcMar>
            <w:vAlign w:val="center"/>
          </w:tcPr>
          <w:p>
            <w:pPr>
              <w:spacing w:after="0"/>
            </w:pPr>
            <w:r>
              <w:rPr>
                <w:rFonts w:ascii="Cambria" w:cs="Cambria" w:eastAsia="Cambria" w:hAnsi="Cambria"/>
                <w:b/>
                <w:bCs/>
                <w:color w:val="FFFFFF"/>
                <w:sz w:val="19"/>
                <w:szCs w:val="19"/>
              </w:rPr>
              <w:t xml:space="preserve">Weight</w:t>
            </w:r>
          </w:p>
        </w:tc>
        <w:tc>
          <w:tcPr>
            <w:tcW w:type="dxa" w:w="5660"/>
            <w:tcBorders>
              <w:top w:val="single" w:color="DCE3EC" w:sz="2"/>
              <w:left w:val="single" w:color="DCE3EC" w:sz="2"/>
              <w:bottom w:val="single" w:color="DCE3EC" w:sz="2"/>
              <w:right w:val="single" w:color="DCE3EC" w:sz="2"/>
            </w:tcBorders>
            <w:shd w:fill="0B6A6E" w:color="auto" w:val="clear"/>
            <w:tcMar>
              <w:top w:type="dxa" w:w="70"/>
              <w:left w:type="dxa" w:w="110"/>
              <w:bottom w:type="dxa" w:w="70"/>
              <w:right w:type="dxa" w:w="110"/>
            </w:tcMar>
            <w:vAlign w:val="center"/>
          </w:tcPr>
          <w:p>
            <w:pPr>
              <w:spacing w:after="0"/>
            </w:pPr>
            <w:r>
              <w:rPr>
                <w:rFonts w:ascii="Cambria" w:cs="Cambria" w:eastAsia="Cambria" w:hAnsi="Cambria"/>
                <w:b/>
                <w:bCs/>
                <w:color w:val="FFFFFF"/>
                <w:sz w:val="19"/>
                <w:szCs w:val="19"/>
              </w:rPr>
              <w:t xml:space="preserve">What it assesses</w:t>
            </w:r>
          </w:p>
        </w:tc>
      </w:tr>
      <w:tr>
        <w:tc>
          <w:tcPr>
            <w:tcW w:type="dxa" w:w="2600"/>
            <w:tcBorders>
              <w:top w:val="single" w:color="DCE3EC" w:sz="2"/>
              <w:left w:val="single" w:color="DCE3EC" w:sz="2"/>
              <w:bottom w:val="single" w:color="DCE3EC" w:sz="2"/>
              <w:right w:val="single" w:color="DCE3EC" w:sz="2"/>
            </w:tcBorders>
            <w:shd w:fill="FFFFFF" w:color="auto" w:val="clear"/>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Problem sets (8)</w:t>
            </w:r>
          </w:p>
        </w:tc>
        <w:tc>
          <w:tcPr>
            <w:tcW w:type="dxa" w:w="1100"/>
            <w:tcBorders>
              <w:top w:val="single" w:color="DCE3EC" w:sz="2"/>
              <w:left w:val="single" w:color="DCE3EC" w:sz="2"/>
              <w:bottom w:val="single" w:color="DCE3EC" w:sz="2"/>
              <w:right w:val="single" w:color="DCE3EC" w:sz="2"/>
            </w:tcBorders>
            <w:shd w:fill="FFFFFF" w:color="auto" w:val="clear"/>
            <w:tcMar>
              <w:top w:type="dxa" w:w="70"/>
              <w:left w:type="dxa" w:w="110"/>
              <w:bottom w:type="dxa" w:w="70"/>
              <w:right w:type="dxa" w:w="110"/>
            </w:tcMar>
            <w:vAlign w:val="top"/>
          </w:tcPr>
          <w:p>
            <w:pPr>
              <w:spacing w:after="0"/>
            </w:pPr>
            <w:r>
              <w:rPr>
                <w:rFonts w:ascii="Calibri" w:cs="Calibri" w:eastAsia="Calibri" w:hAnsi="Calibri"/>
                <w:b/>
                <w:bCs/>
                <w:color w:val="0B6A6E"/>
                <w:sz w:val="19"/>
                <w:szCs w:val="19"/>
              </w:rPr>
              <w:t xml:space="preserve">20%</w:t>
            </w:r>
          </w:p>
        </w:tc>
        <w:tc>
          <w:tcPr>
            <w:tcW w:type="dxa" w:w="5660"/>
            <w:tcBorders>
              <w:top w:val="single" w:color="DCE3EC" w:sz="2"/>
              <w:left w:val="single" w:color="DCE3EC" w:sz="2"/>
              <w:bottom w:val="single" w:color="DCE3EC" w:sz="2"/>
              <w:right w:val="single" w:color="DCE3EC" w:sz="2"/>
            </w:tcBorders>
            <w:shd w:fill="FFFFFF" w:color="auto" w:val="clear"/>
            <w:tcMar>
              <w:top w:type="dxa" w:w="70"/>
              <w:left w:type="dxa" w:w="110"/>
              <w:bottom w:type="dxa" w:w="70"/>
              <w:right w:type="dxa" w:w="110"/>
            </w:tcMar>
            <w:vAlign w:val="top"/>
          </w:tcPr>
          <w:p>
            <w:pPr>
              <w:spacing w:after="0"/>
            </w:pPr>
            <w:r>
              <w:rPr>
                <w:rFonts w:ascii="Calibri" w:cs="Calibri" w:eastAsia="Calibri" w:hAnsi="Calibri"/>
                <w:color w:val="20304A"/>
                <w:sz w:val="19"/>
                <w:szCs w:val="19"/>
              </w:rPr>
              <w:t xml:space="preserve">Short theory &amp; DAG exercises reinforcing each week's concepts.</w:t>
            </w:r>
          </w:p>
        </w:tc>
      </w:tr>
      <w:tr>
        <w:tc>
          <w:tcPr>
            <w:tcW w:type="dxa" w:w="2600"/>
            <w:tcBorders>
              <w:top w:val="single" w:color="DCE3EC" w:sz="2"/>
              <w:left w:val="single" w:color="DCE3EC" w:sz="2"/>
              <w:bottom w:val="single" w:color="DCE3EC" w:sz="2"/>
              <w:right w:val="single" w:color="DCE3EC" w:sz="2"/>
            </w:tcBorders>
            <w:shd w:fill="F4F6FA" w:color="auto" w:val="clear"/>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Labs (10)</w:t>
            </w:r>
          </w:p>
        </w:tc>
        <w:tc>
          <w:tcPr>
            <w:tcW w:type="dxa" w:w="1100"/>
            <w:tcBorders>
              <w:top w:val="single" w:color="DCE3EC" w:sz="2"/>
              <w:left w:val="single" w:color="DCE3EC" w:sz="2"/>
              <w:bottom w:val="single" w:color="DCE3EC" w:sz="2"/>
              <w:right w:val="single" w:color="DCE3EC" w:sz="2"/>
            </w:tcBorders>
            <w:shd w:fill="F4F6FA" w:color="auto" w:val="clear"/>
            <w:tcMar>
              <w:top w:type="dxa" w:w="70"/>
              <w:left w:type="dxa" w:w="110"/>
              <w:bottom w:type="dxa" w:w="70"/>
              <w:right w:type="dxa" w:w="110"/>
            </w:tcMar>
            <w:vAlign w:val="top"/>
          </w:tcPr>
          <w:p>
            <w:pPr>
              <w:spacing w:after="0"/>
            </w:pPr>
            <w:r>
              <w:rPr>
                <w:rFonts w:ascii="Calibri" w:cs="Calibri" w:eastAsia="Calibri" w:hAnsi="Calibri"/>
                <w:b/>
                <w:bCs/>
                <w:color w:val="0B6A6E"/>
                <w:sz w:val="19"/>
                <w:szCs w:val="19"/>
              </w:rPr>
              <w:t xml:space="preserve">25%</w:t>
            </w:r>
          </w:p>
        </w:tc>
        <w:tc>
          <w:tcPr>
            <w:tcW w:type="dxa" w:w="5660"/>
            <w:tcBorders>
              <w:top w:val="single" w:color="DCE3EC" w:sz="2"/>
              <w:left w:val="single" w:color="DCE3EC" w:sz="2"/>
              <w:bottom w:val="single" w:color="DCE3EC" w:sz="2"/>
              <w:right w:val="single" w:color="DCE3EC" w:sz="2"/>
            </w:tcBorders>
            <w:shd w:fill="F4F6FA" w:color="auto" w:val="clear"/>
            <w:tcMar>
              <w:top w:type="dxa" w:w="70"/>
              <w:left w:type="dxa" w:w="110"/>
              <w:bottom w:type="dxa" w:w="70"/>
              <w:right w:type="dxa" w:w="110"/>
            </w:tcMar>
            <w:vAlign w:val="top"/>
          </w:tcPr>
          <w:p>
            <w:pPr>
              <w:spacing w:after="0"/>
            </w:pPr>
            <w:r>
              <w:rPr>
                <w:rFonts w:ascii="Calibri" w:cs="Calibri" w:eastAsia="Calibri" w:hAnsi="Calibri"/>
                <w:color w:val="20304A"/>
                <w:sz w:val="19"/>
                <w:szCs w:val="19"/>
              </w:rPr>
              <w:t xml:space="preserve">Hands-on, reproducible analyses in R or Python, submitted via GitHub.</w:t>
            </w:r>
          </w:p>
        </w:tc>
      </w:tr>
      <w:tr>
        <w:tc>
          <w:tcPr>
            <w:tcW w:type="dxa" w:w="2600"/>
            <w:tcBorders>
              <w:top w:val="single" w:color="DCE3EC" w:sz="2"/>
              <w:left w:val="single" w:color="DCE3EC" w:sz="2"/>
              <w:bottom w:val="single" w:color="DCE3EC" w:sz="2"/>
              <w:right w:val="single" w:color="DCE3EC" w:sz="2"/>
            </w:tcBorders>
            <w:shd w:fill="FFFFFF" w:color="auto" w:val="clear"/>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Midterm exam</w:t>
            </w:r>
          </w:p>
        </w:tc>
        <w:tc>
          <w:tcPr>
            <w:tcW w:type="dxa" w:w="1100"/>
            <w:tcBorders>
              <w:top w:val="single" w:color="DCE3EC" w:sz="2"/>
              <w:left w:val="single" w:color="DCE3EC" w:sz="2"/>
              <w:bottom w:val="single" w:color="DCE3EC" w:sz="2"/>
              <w:right w:val="single" w:color="DCE3EC" w:sz="2"/>
            </w:tcBorders>
            <w:shd w:fill="FFFFFF" w:color="auto" w:val="clear"/>
            <w:tcMar>
              <w:top w:type="dxa" w:w="70"/>
              <w:left w:type="dxa" w:w="110"/>
              <w:bottom w:type="dxa" w:w="70"/>
              <w:right w:type="dxa" w:w="110"/>
            </w:tcMar>
            <w:vAlign w:val="top"/>
          </w:tcPr>
          <w:p>
            <w:pPr>
              <w:spacing w:after="0"/>
            </w:pPr>
            <w:r>
              <w:rPr>
                <w:rFonts w:ascii="Calibri" w:cs="Calibri" w:eastAsia="Calibri" w:hAnsi="Calibri"/>
                <w:b/>
                <w:bCs/>
                <w:color w:val="0B6A6E"/>
                <w:sz w:val="19"/>
                <w:szCs w:val="19"/>
              </w:rPr>
              <w:t xml:space="preserve">20%</w:t>
            </w:r>
          </w:p>
        </w:tc>
        <w:tc>
          <w:tcPr>
            <w:tcW w:type="dxa" w:w="5660"/>
            <w:tcBorders>
              <w:top w:val="single" w:color="DCE3EC" w:sz="2"/>
              <w:left w:val="single" w:color="DCE3EC" w:sz="2"/>
              <w:bottom w:val="single" w:color="DCE3EC" w:sz="2"/>
              <w:right w:val="single" w:color="DCE3EC" w:sz="2"/>
            </w:tcBorders>
            <w:shd w:fill="FFFFFF" w:color="auto" w:val="clear"/>
            <w:tcMar>
              <w:top w:type="dxa" w:w="70"/>
              <w:left w:type="dxa" w:w="110"/>
              <w:bottom w:type="dxa" w:w="70"/>
              <w:right w:type="dxa" w:w="110"/>
            </w:tcMar>
            <w:vAlign w:val="top"/>
          </w:tcPr>
          <w:p>
            <w:pPr>
              <w:spacing w:after="0"/>
            </w:pPr>
            <w:r>
              <w:rPr>
                <w:rFonts w:ascii="Calibri" w:cs="Calibri" w:eastAsia="Calibri" w:hAnsi="Calibri"/>
                <w:color w:val="20304A"/>
                <w:sz w:val="19"/>
                <w:szCs w:val="19"/>
              </w:rPr>
              <w:t xml:space="preserve">Week 8 — covers Weeks 1–7 (foundations &amp; adjustment).</w:t>
            </w:r>
          </w:p>
        </w:tc>
      </w:tr>
      <w:tr>
        <w:tc>
          <w:tcPr>
            <w:tcW w:type="dxa" w:w="2600"/>
            <w:tcBorders>
              <w:top w:val="single" w:color="DCE3EC" w:sz="2"/>
              <w:left w:val="single" w:color="DCE3EC" w:sz="2"/>
              <w:bottom w:val="single" w:color="DCE3EC" w:sz="2"/>
              <w:right w:val="single" w:color="DCE3EC" w:sz="2"/>
            </w:tcBorders>
            <w:shd w:fill="F4F6FA" w:color="auto" w:val="clear"/>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Capstone project</w:t>
            </w:r>
          </w:p>
        </w:tc>
        <w:tc>
          <w:tcPr>
            <w:tcW w:type="dxa" w:w="1100"/>
            <w:tcBorders>
              <w:top w:val="single" w:color="DCE3EC" w:sz="2"/>
              <w:left w:val="single" w:color="DCE3EC" w:sz="2"/>
              <w:bottom w:val="single" w:color="DCE3EC" w:sz="2"/>
              <w:right w:val="single" w:color="DCE3EC" w:sz="2"/>
            </w:tcBorders>
            <w:shd w:fill="F4F6FA" w:color="auto" w:val="clear"/>
            <w:tcMar>
              <w:top w:type="dxa" w:w="70"/>
              <w:left w:type="dxa" w:w="110"/>
              <w:bottom w:type="dxa" w:w="70"/>
              <w:right w:type="dxa" w:w="110"/>
            </w:tcMar>
            <w:vAlign w:val="top"/>
          </w:tcPr>
          <w:p>
            <w:pPr>
              <w:spacing w:after="0"/>
            </w:pPr>
            <w:r>
              <w:rPr>
                <w:rFonts w:ascii="Calibri" w:cs="Calibri" w:eastAsia="Calibri" w:hAnsi="Calibri"/>
                <w:b/>
                <w:bCs/>
                <w:color w:val="0B6A6E"/>
                <w:sz w:val="19"/>
                <w:szCs w:val="19"/>
              </w:rPr>
              <w:t xml:space="preserve">30%</w:t>
            </w:r>
          </w:p>
        </w:tc>
        <w:tc>
          <w:tcPr>
            <w:tcW w:type="dxa" w:w="5660"/>
            <w:tcBorders>
              <w:top w:val="single" w:color="DCE3EC" w:sz="2"/>
              <w:left w:val="single" w:color="DCE3EC" w:sz="2"/>
              <w:bottom w:val="single" w:color="DCE3EC" w:sz="2"/>
              <w:right w:val="single" w:color="DCE3EC" w:sz="2"/>
            </w:tcBorders>
            <w:shd w:fill="F4F6FA" w:color="auto" w:val="clear"/>
            <w:tcMar>
              <w:top w:type="dxa" w:w="70"/>
              <w:left w:type="dxa" w:w="110"/>
              <w:bottom w:type="dxa" w:w="70"/>
              <w:right w:type="dxa" w:w="110"/>
            </w:tcMar>
            <w:vAlign w:val="top"/>
          </w:tcPr>
          <w:p>
            <w:pPr>
              <w:spacing w:after="0"/>
            </w:pPr>
            <w:r>
              <w:rPr>
                <w:rFonts w:ascii="Calibri" w:cs="Calibri" w:eastAsia="Calibri" w:hAnsi="Calibri"/>
                <w:color w:val="20304A"/>
                <w:sz w:val="19"/>
                <w:szCs w:val="19"/>
              </w:rPr>
              <w:t xml:space="preserve">An original end-to-end causal analysis: report + presentation.</w:t>
            </w:r>
          </w:p>
        </w:tc>
      </w:tr>
      <w:tr>
        <w:tc>
          <w:tcPr>
            <w:tcW w:type="dxa" w:w="2600"/>
            <w:tcBorders>
              <w:top w:val="single" w:color="DCE3EC" w:sz="2"/>
              <w:left w:val="single" w:color="DCE3EC" w:sz="2"/>
              <w:bottom w:val="single" w:color="DCE3EC" w:sz="2"/>
              <w:right w:val="single" w:color="DCE3EC" w:sz="2"/>
            </w:tcBorders>
            <w:shd w:fill="FFFFFF" w:color="auto" w:val="clear"/>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Participation</w:t>
            </w:r>
          </w:p>
        </w:tc>
        <w:tc>
          <w:tcPr>
            <w:tcW w:type="dxa" w:w="1100"/>
            <w:tcBorders>
              <w:top w:val="single" w:color="DCE3EC" w:sz="2"/>
              <w:left w:val="single" w:color="DCE3EC" w:sz="2"/>
              <w:bottom w:val="single" w:color="DCE3EC" w:sz="2"/>
              <w:right w:val="single" w:color="DCE3EC" w:sz="2"/>
            </w:tcBorders>
            <w:shd w:fill="FFFFFF" w:color="auto" w:val="clear"/>
            <w:tcMar>
              <w:top w:type="dxa" w:w="70"/>
              <w:left w:type="dxa" w:w="110"/>
              <w:bottom w:type="dxa" w:w="70"/>
              <w:right w:type="dxa" w:w="110"/>
            </w:tcMar>
            <w:vAlign w:val="top"/>
          </w:tcPr>
          <w:p>
            <w:pPr>
              <w:spacing w:after="0"/>
            </w:pPr>
            <w:r>
              <w:rPr>
                <w:rFonts w:ascii="Calibri" w:cs="Calibri" w:eastAsia="Calibri" w:hAnsi="Calibri"/>
                <w:b/>
                <w:bCs/>
                <w:color w:val="0B6A6E"/>
                <w:sz w:val="19"/>
                <w:szCs w:val="19"/>
              </w:rPr>
              <w:t xml:space="preserve">5%</w:t>
            </w:r>
          </w:p>
        </w:tc>
        <w:tc>
          <w:tcPr>
            <w:tcW w:type="dxa" w:w="5660"/>
            <w:tcBorders>
              <w:top w:val="single" w:color="DCE3EC" w:sz="2"/>
              <w:left w:val="single" w:color="DCE3EC" w:sz="2"/>
              <w:bottom w:val="single" w:color="DCE3EC" w:sz="2"/>
              <w:right w:val="single" w:color="DCE3EC" w:sz="2"/>
            </w:tcBorders>
            <w:shd w:fill="FFFFFF" w:color="auto" w:val="clear"/>
            <w:tcMar>
              <w:top w:type="dxa" w:w="70"/>
              <w:left w:type="dxa" w:w="110"/>
              <w:bottom w:type="dxa" w:w="70"/>
              <w:right w:type="dxa" w:w="110"/>
            </w:tcMar>
            <w:vAlign w:val="top"/>
          </w:tcPr>
          <w:p>
            <w:pPr>
              <w:spacing w:after="0"/>
            </w:pPr>
            <w:r>
              <w:rPr>
                <w:rFonts w:ascii="Calibri" w:cs="Calibri" w:eastAsia="Calibri" w:hAnsi="Calibri"/>
                <w:color w:val="20304A"/>
                <w:sz w:val="19"/>
                <w:szCs w:val="19"/>
              </w:rPr>
              <w:t xml:space="preserve">Lab engagement, discussion, and peer review.</w:t>
            </w:r>
          </w:p>
        </w:tc>
      </w:tr>
    </w:tbl>
    <w:p>
      <w:pPr>
        <w:pStyle w:val="Heading2"/>
        <w:spacing w:after="100" w:before="240"/>
      </w:pPr>
      <w:r>
        <w:rPr>
          <w:rFonts w:ascii="Cambria" w:cs="Cambria" w:eastAsia="Cambria" w:hAnsi="Cambria"/>
          <w:b/>
          <w:bCs/>
          <w:color w:val="0B6A6E"/>
          <w:sz w:val="25"/>
          <w:szCs w:val="25"/>
        </w:rPr>
        <w:t xml:space="preserve">Grading scale</w:t>
      </w:r>
    </w:p>
    <w:p>
      <w:pPr>
        <w:spacing w:after="60" w:line="276"/>
      </w:pPr>
      <w:r>
        <w:rPr>
          <w:rFonts w:ascii="Calibri" w:cs="Calibri" w:eastAsia="Calibri" w:hAnsi="Calibri"/>
          <w:color w:val="20304A"/>
          <w:sz w:val="21"/>
          <w:szCs w:val="21"/>
        </w:rPr>
        <w:t xml:space="preserve">A 93–100 · A− 90–92 · B+ 87–89 · B 83–86 · B− 80–82 · C+ 77–79 · C 73–76 · C− 70–72 · F below 70. Graduate students must maintain the standard required by their program.</w:t>
      </w:r>
    </w:p>
    <w:p>
      <w:pPr>
        <w:pStyle w:val="Heading2"/>
        <w:spacing w:after="100" w:before="240"/>
      </w:pPr>
      <w:r>
        <w:rPr>
          <w:rFonts w:ascii="Cambria" w:cs="Cambria" w:eastAsia="Cambria" w:hAnsi="Cambria"/>
          <w:b/>
          <w:bCs/>
          <w:color w:val="0B6A6E"/>
          <w:sz w:val="25"/>
          <w:szCs w:val="25"/>
        </w:rPr>
        <w:t xml:space="preserve">Late work &amp; extensions</w:t>
      </w:r>
    </w:p>
    <w:p>
      <w:pPr>
        <w:pStyle w:val="ListParagraph"/>
        <w:numPr>
          <w:ilvl w:val="0"/>
          <w:numId w:val="2"/>
        </w:numPr>
        <w:spacing w:after="60" w:line="268"/>
      </w:pPr>
      <w:r>
        <w:rPr>
          <w:rFonts w:ascii="Calibri" w:cs="Calibri" w:eastAsia="Calibri" w:hAnsi="Calibri"/>
          <w:color w:val="20304A"/>
          <w:sz w:val="21"/>
          <w:szCs w:val="21"/>
        </w:rPr>
        <w:t xml:space="preserve">Each student has two “grace” extensions of 48 hours, usable on any problem set or lab, no questions asked.</w:t>
      </w:r>
    </w:p>
    <w:p>
      <w:pPr>
        <w:pStyle w:val="ListParagraph"/>
        <w:numPr>
          <w:ilvl w:val="0"/>
          <w:numId w:val="2"/>
        </w:numPr>
        <w:spacing w:after="60" w:line="268"/>
      </w:pPr>
      <w:r>
        <w:rPr>
          <w:rFonts w:ascii="Calibri" w:cs="Calibri" w:eastAsia="Calibri" w:hAnsi="Calibri"/>
          <w:color w:val="20304A"/>
          <w:sz w:val="21"/>
          <w:szCs w:val="21"/>
        </w:rPr>
        <w:t xml:space="preserve">Beyond grace days, late work is penalized 10% per day for up to three days; after that it is not accepted, so partial submissions are encouraged.</w:t>
      </w:r>
    </w:p>
    <w:p>
      <w:pPr>
        <w:pStyle w:val="ListParagraph"/>
        <w:numPr>
          <w:ilvl w:val="0"/>
          <w:numId w:val="2"/>
        </w:numPr>
        <w:spacing w:after="60" w:line="268"/>
      </w:pPr>
      <w:r>
        <w:rPr>
          <w:rFonts w:ascii="Calibri" w:cs="Calibri" w:eastAsia="Calibri" w:hAnsi="Calibri"/>
          <w:color w:val="20304A"/>
          <w:sz w:val="21"/>
          <w:szCs w:val="21"/>
        </w:rPr>
        <w:t xml:space="preserve">The midterm and capstone deadlines are fixed; extensions require documented circumstances and prior arrangement.</w:t>
      </w:r>
    </w:p>
    <w:p>
      <w:r>
        <w:br w:type="page"/>
      </w:r>
    </w:p>
    <w:p>
      <w:pPr>
        <w:pStyle w:val="Heading1"/>
        <w:pBdr>
          <w:bottom w:val="single" w:color="0E8388" w:sz="10" w:space="4"/>
        </w:pBdr>
        <w:spacing w:after="140" w:before="320"/>
      </w:pPr>
      <w:r>
        <w:rPr>
          <w:rFonts w:ascii="Cambria" w:cs="Cambria" w:eastAsia="Cambria" w:hAnsi="Cambria"/>
          <w:b/>
          <w:bCs/>
          <w:color w:val="15203A"/>
          <w:sz w:val="30"/>
          <w:szCs w:val="30"/>
        </w:rPr>
        <w:t xml:space="preserve">Schedule at a glance</w:t>
      </w:r>
    </w:p>
    <w:p>
      <w:pPr>
        <w:spacing w:after="120" w:line="276"/>
      </w:pPr>
      <w:r>
        <w:rPr>
          <w:rFonts w:ascii="Calibri" w:cs="Calibri" w:eastAsia="Calibri" w:hAnsi="Calibri"/>
          <w:color w:val="20304A"/>
          <w:sz w:val="21"/>
          <w:szCs w:val="21"/>
        </w:rPr>
        <w:t xml:space="preserve">Fifteen weeks in four blocks. Each week pairs a ~45-slide lecture with a self-study packet (readings, a problem set or lab, and a worked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520"/>
        <w:gridCol w:w="2740"/>
        <w:gridCol w:w="2480"/>
      </w:tblGrid>
      <w:tr>
        <w:trPr>
          <w:tblHeader/>
        </w:trPr>
        <w:tc>
          <w:tcPr>
            <w:tcW w:type="dxa" w:w="620"/>
            <w:tcBorders>
              <w:top w:val="single" w:color="DCE3EC" w:sz="2"/>
              <w:left w:val="single" w:color="DCE3EC" w:sz="2"/>
              <w:bottom w:val="single" w:color="DCE3EC" w:sz="2"/>
              <w:right w:val="single" w:color="DCE3EC" w:sz="2"/>
            </w:tcBorders>
            <w:shd w:fill="0B6A6E" w:color="auto" w:val="clear"/>
            <w:tcMar>
              <w:top w:type="dxa" w:w="70"/>
              <w:left w:type="dxa" w:w="110"/>
              <w:bottom w:type="dxa" w:w="70"/>
              <w:right w:type="dxa" w:w="110"/>
            </w:tcMar>
            <w:vAlign w:val="center"/>
          </w:tcPr>
          <w:p>
            <w:pPr>
              <w:spacing w:after="0"/>
            </w:pPr>
            <w:r>
              <w:rPr>
                <w:rFonts w:ascii="Cambria" w:cs="Cambria" w:eastAsia="Cambria" w:hAnsi="Cambria"/>
                <w:b/>
                <w:bCs/>
                <w:color w:val="FFFFFF"/>
                <w:sz w:val="19"/>
                <w:szCs w:val="19"/>
              </w:rPr>
              <w:t xml:space="preserve">Wk</w:t>
            </w:r>
          </w:p>
        </w:tc>
        <w:tc>
          <w:tcPr>
            <w:tcW w:type="dxa" w:w="3520"/>
            <w:tcBorders>
              <w:top w:val="single" w:color="DCE3EC" w:sz="2"/>
              <w:left w:val="single" w:color="DCE3EC" w:sz="2"/>
              <w:bottom w:val="single" w:color="DCE3EC" w:sz="2"/>
              <w:right w:val="single" w:color="DCE3EC" w:sz="2"/>
            </w:tcBorders>
            <w:shd w:fill="0B6A6E" w:color="auto" w:val="clear"/>
            <w:tcMar>
              <w:top w:type="dxa" w:w="70"/>
              <w:left w:type="dxa" w:w="110"/>
              <w:bottom w:type="dxa" w:w="70"/>
              <w:right w:type="dxa" w:w="110"/>
            </w:tcMar>
            <w:vAlign w:val="center"/>
          </w:tcPr>
          <w:p>
            <w:pPr>
              <w:spacing w:after="0"/>
            </w:pPr>
            <w:r>
              <w:rPr>
                <w:rFonts w:ascii="Cambria" w:cs="Cambria" w:eastAsia="Cambria" w:hAnsi="Cambria"/>
                <w:b/>
                <w:bCs/>
                <w:color w:val="FFFFFF"/>
                <w:sz w:val="19"/>
                <w:szCs w:val="19"/>
              </w:rPr>
              <w:t xml:space="preserve">Topic</w:t>
            </w:r>
          </w:p>
        </w:tc>
        <w:tc>
          <w:tcPr>
            <w:tcW w:type="dxa" w:w="2740"/>
            <w:tcBorders>
              <w:top w:val="single" w:color="DCE3EC" w:sz="2"/>
              <w:left w:val="single" w:color="DCE3EC" w:sz="2"/>
              <w:bottom w:val="single" w:color="DCE3EC" w:sz="2"/>
              <w:right w:val="single" w:color="DCE3EC" w:sz="2"/>
            </w:tcBorders>
            <w:shd w:fill="0B6A6E" w:color="auto" w:val="clear"/>
            <w:tcMar>
              <w:top w:type="dxa" w:w="70"/>
              <w:left w:type="dxa" w:w="110"/>
              <w:bottom w:type="dxa" w:w="70"/>
              <w:right w:type="dxa" w:w="110"/>
            </w:tcMar>
            <w:vAlign w:val="center"/>
          </w:tcPr>
          <w:p>
            <w:pPr>
              <w:spacing w:after="0"/>
            </w:pPr>
            <w:r>
              <w:rPr>
                <w:rFonts w:ascii="Cambria" w:cs="Cambria" w:eastAsia="Cambria" w:hAnsi="Cambria"/>
                <w:b/>
                <w:bCs/>
                <w:color w:val="FFFFFF"/>
                <w:sz w:val="19"/>
                <w:szCs w:val="19"/>
              </w:rPr>
              <w:t xml:space="preserve">Key readings</w:t>
            </w:r>
          </w:p>
        </w:tc>
        <w:tc>
          <w:tcPr>
            <w:tcW w:type="dxa" w:w="2480"/>
            <w:tcBorders>
              <w:top w:val="single" w:color="DCE3EC" w:sz="2"/>
              <w:left w:val="single" w:color="DCE3EC" w:sz="2"/>
              <w:bottom w:val="single" w:color="DCE3EC" w:sz="2"/>
              <w:right w:val="single" w:color="DCE3EC" w:sz="2"/>
            </w:tcBorders>
            <w:shd w:fill="0B6A6E" w:color="auto" w:val="clear"/>
            <w:tcMar>
              <w:top w:type="dxa" w:w="70"/>
              <w:left w:type="dxa" w:w="110"/>
              <w:bottom w:type="dxa" w:w="70"/>
              <w:right w:type="dxa" w:w="110"/>
            </w:tcMar>
            <w:vAlign w:val="center"/>
          </w:tcPr>
          <w:p>
            <w:pPr>
              <w:spacing w:after="0"/>
            </w:pPr>
            <w:r>
              <w:rPr>
                <w:rFonts w:ascii="Cambria" w:cs="Cambria" w:eastAsia="Cambria" w:hAnsi="Cambria"/>
                <w:b/>
                <w:bCs/>
                <w:color w:val="FFFFFF"/>
                <w:sz w:val="19"/>
                <w:szCs w:val="19"/>
              </w:rPr>
              <w:t xml:space="preserve">Due</w:t>
            </w:r>
          </w:p>
        </w:tc>
      </w:tr>
      <w:tr>
        <w:tc>
          <w:tcPr>
            <w:tcW w:type="dxa" w:w="9360"/>
            <w:gridSpan w:val="4"/>
            <w:tcBorders>
              <w:top w:val="single" w:color="DCE3EC" w:sz="2"/>
              <w:left w:val="single" w:color="DCE3EC" w:sz="2"/>
              <w:bottom w:val="single" w:color="DCE3EC" w:sz="2"/>
              <w:right w:val="single" w:color="DCE3EC" w:sz="2"/>
            </w:tcBorders>
            <w:shd w:fill="EAF2F2" w:color="auto" w:val="clear"/>
            <w:tcMar>
              <w:top w:type="dxa" w:w="50"/>
              <w:left w:type="dxa" w:w="110"/>
              <w:bottom w:type="dxa" w:w="50"/>
              <w:right w:type="dxa" w:w="110"/>
            </w:tcMar>
          </w:tcPr>
          <w:p>
            <w:pPr>
              <w:spacing w:after="0"/>
            </w:pPr>
            <w:r>
              <w:rPr>
                <w:rFonts w:ascii="Cambria" w:cs="Cambria" w:eastAsia="Cambria" w:hAnsi="Cambria"/>
                <w:b/>
                <w:bCs/>
                <w:color w:val="0B6A6E"/>
                <w:sz w:val="18"/>
                <w:szCs w:val="18"/>
              </w:rPr>
              <w:t xml:space="preserve">Block I — Foundations</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1</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The causal question</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H&amp;R Ch.1; Primer Ch.1</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val="false"/>
                <w:bCs w:val="false"/>
                <w:color w:val="0B6A6E"/>
                <w:sz w:val="17"/>
                <w:szCs w:val="17"/>
              </w:rPr>
              <w:t xml:space="preserve">PS 1 · Lab 0</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2</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Potential outcomes</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H&amp;R Ch.1–3; I&amp;R Ch.1–2</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val="false"/>
                <w:bCs w:val="false"/>
                <w:color w:val="0B6A6E"/>
                <w:sz w:val="17"/>
                <w:szCs w:val="17"/>
              </w:rPr>
              <w:t xml:space="preserve">PS 2</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3</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Randomized experiments &amp; A/B testing</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Mixtape (RCT); Kohavi et al.</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val="false"/>
                <w:bCs w:val="false"/>
                <w:color w:val="0B6A6E"/>
                <w:sz w:val="17"/>
                <w:szCs w:val="17"/>
              </w:rPr>
              <w:t xml:space="preserve">Lab 1</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4</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Causal graphs (DAGs)</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Primer Ch.2–3; H&amp;R Ch.6–7</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val="false"/>
                <w:bCs w:val="false"/>
                <w:color w:val="0B6A6E"/>
                <w:sz w:val="17"/>
                <w:szCs w:val="17"/>
              </w:rPr>
              <w:t xml:space="preserve">PS 3 · Lab 2</w:t>
            </w:r>
          </w:p>
        </w:tc>
      </w:tr>
      <w:tr>
        <w:tc>
          <w:tcPr>
            <w:tcW w:type="dxa" w:w="9360"/>
            <w:gridSpan w:val="4"/>
            <w:tcBorders>
              <w:top w:val="single" w:color="DCE3EC" w:sz="2"/>
              <w:left w:val="single" w:color="DCE3EC" w:sz="2"/>
              <w:bottom w:val="single" w:color="DCE3EC" w:sz="2"/>
              <w:right w:val="single" w:color="DCE3EC" w:sz="2"/>
            </w:tcBorders>
            <w:shd w:fill="EAF2F2" w:color="auto" w:val="clear"/>
            <w:tcMar>
              <w:top w:type="dxa" w:w="50"/>
              <w:left w:type="dxa" w:w="110"/>
              <w:bottom w:type="dxa" w:w="50"/>
              <w:right w:type="dxa" w:w="110"/>
            </w:tcMar>
          </w:tcPr>
          <w:p>
            <w:pPr>
              <w:spacing w:after="0"/>
            </w:pPr>
            <w:r>
              <w:rPr>
                <w:rFonts w:ascii="Cambria" w:cs="Cambria" w:eastAsia="Cambria" w:hAnsi="Cambria"/>
                <w:b/>
                <w:bCs/>
                <w:color w:val="0B6A6E"/>
                <w:sz w:val="18"/>
                <w:szCs w:val="18"/>
              </w:rPr>
              <w:t xml:space="preserve">Block II — Adjustment for confounding</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5</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Regression &amp; adjustment</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MHE Ch.3; Good/Bad Controls</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val="false"/>
                <w:bCs w:val="false"/>
                <w:color w:val="0B6A6E"/>
                <w:sz w:val="17"/>
                <w:szCs w:val="17"/>
              </w:rPr>
              <w:t xml:space="preserve">PS 4</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6</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Matching &amp; propensity scores</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I&amp;R Ch.12–15; Stuart 2010</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val="false"/>
                <w:bCs w:val="false"/>
                <w:color w:val="0B6A6E"/>
                <w:sz w:val="17"/>
                <w:szCs w:val="17"/>
              </w:rPr>
              <w:t xml:space="preserve">Lab 3</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7</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Weighting &amp; doubly robust estimation</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H&amp;R Ch.12–13</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val="false"/>
                <w:bCs w:val="false"/>
                <w:color w:val="0B6A6E"/>
                <w:sz w:val="17"/>
                <w:szCs w:val="17"/>
              </w:rPr>
              <w:t xml:space="preserve">PS 5 · Lab 4</w:t>
            </w:r>
          </w:p>
        </w:tc>
      </w:tr>
      <w:tr>
        <w:tc>
          <w:tcPr>
            <w:tcW w:type="dxa" w:w="9360"/>
            <w:gridSpan w:val="4"/>
            <w:tcBorders>
              <w:top w:val="single" w:color="DCE3EC" w:sz="2"/>
              <w:left w:val="single" w:color="DCE3EC" w:sz="2"/>
              <w:bottom w:val="single" w:color="DCE3EC" w:sz="2"/>
              <w:right w:val="single" w:color="DCE3EC" w:sz="2"/>
            </w:tcBorders>
            <w:shd w:fill="EAF2F2" w:color="auto" w:val="clear"/>
            <w:tcMar>
              <w:top w:type="dxa" w:w="50"/>
              <w:left w:type="dxa" w:w="110"/>
              <w:bottom w:type="dxa" w:w="50"/>
              <w:right w:type="dxa" w:w="110"/>
            </w:tcMar>
          </w:tcPr>
          <w:p>
            <w:pPr>
              <w:spacing w:after="0"/>
            </w:pPr>
            <w:r>
              <w:rPr>
                <w:rFonts w:ascii="Cambria" w:cs="Cambria" w:eastAsia="Cambria" w:hAnsi="Cambria"/>
                <w:b/>
                <w:bCs/>
                <w:color w:val="0B6A6E"/>
                <w:sz w:val="18"/>
                <w:szCs w:val="18"/>
              </w:rPr>
              <w:t xml:space="preserve">Block III — Quasi-experimental designs</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C8821F"/>
                <w:sz w:val="19"/>
                <w:szCs w:val="19"/>
              </w:rPr>
              <w:t xml:space="preserve">8</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Instrumental variables &amp; Mendelian randomization</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MHE Ch.4; Mixtape (IV)</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C8821F"/>
                <w:sz w:val="17"/>
                <w:szCs w:val="17"/>
              </w:rPr>
              <w:t xml:space="preserve">Midterm · Lab 5</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9</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Regression discontinuity</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MHE Ch.6; Cattaneo et al.</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val="false"/>
                <w:bCs w:val="false"/>
                <w:color w:val="0B6A6E"/>
                <w:sz w:val="17"/>
                <w:szCs w:val="17"/>
              </w:rPr>
              <w:t xml:space="preserve">Lab 6</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10</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Difference-in-differences &amp; panel methods</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MHE Ch.5; Mixtape (DiD)</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val="false"/>
                <w:bCs w:val="false"/>
                <w:color w:val="0B6A6E"/>
                <w:sz w:val="17"/>
                <w:szCs w:val="17"/>
              </w:rPr>
              <w:t xml:space="preserve">PS 6 · Lab 7</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11</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Synthetic control</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Abadie 2021 (JEL)</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val="false"/>
                <w:bCs w:val="false"/>
                <w:color w:val="0B6A6E"/>
                <w:sz w:val="17"/>
                <w:szCs w:val="17"/>
              </w:rPr>
              <w:t xml:space="preserve">Lab 8</w:t>
            </w:r>
          </w:p>
        </w:tc>
      </w:tr>
      <w:tr>
        <w:tc>
          <w:tcPr>
            <w:tcW w:type="dxa" w:w="9360"/>
            <w:gridSpan w:val="4"/>
            <w:tcBorders>
              <w:top w:val="single" w:color="DCE3EC" w:sz="2"/>
              <w:left w:val="single" w:color="DCE3EC" w:sz="2"/>
              <w:bottom w:val="single" w:color="DCE3EC" w:sz="2"/>
              <w:right w:val="single" w:color="DCE3EC" w:sz="2"/>
            </w:tcBorders>
            <w:shd w:fill="EAF2F2" w:color="auto" w:val="clear"/>
            <w:tcMar>
              <w:top w:type="dxa" w:w="50"/>
              <w:left w:type="dxa" w:w="110"/>
              <w:bottom w:type="dxa" w:w="50"/>
              <w:right w:type="dxa" w:w="110"/>
            </w:tcMar>
          </w:tcPr>
          <w:p>
            <w:pPr>
              <w:spacing w:after="0"/>
            </w:pPr>
            <w:r>
              <w:rPr>
                <w:rFonts w:ascii="Cambria" w:cs="Cambria" w:eastAsia="Cambria" w:hAnsi="Cambria"/>
                <w:b/>
                <w:bCs/>
                <w:color w:val="0B6A6E"/>
                <w:sz w:val="18"/>
                <w:szCs w:val="18"/>
              </w:rPr>
              <w:t xml:space="preserve">Block IV — Modern methods &amp; application</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12</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Double / debiased machine learning</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Chernozhukov et al. 2018</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val="false"/>
                <w:bCs w:val="false"/>
                <w:color w:val="0B6A6E"/>
                <w:sz w:val="17"/>
                <w:szCs w:val="17"/>
              </w:rPr>
              <w:t xml:space="preserve">Lab 9</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13</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Heterogeneous effects &amp; policy learning</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Wager &amp; Athey 2018</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val="false"/>
                <w:bCs w:val="false"/>
                <w:color w:val="0B6A6E"/>
                <w:sz w:val="17"/>
                <w:szCs w:val="17"/>
              </w:rPr>
              <w:t xml:space="preserve">PS 7 · Lab 10</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14</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Advanced topics</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VanderWeele; H&amp;R Part III</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val="false"/>
                <w:bCs w:val="false"/>
                <w:color w:val="0B6A6E"/>
                <w:sz w:val="17"/>
                <w:szCs w:val="17"/>
              </w:rPr>
              <w:t xml:space="preserve">PS 8</w:t>
            </w:r>
          </w:p>
        </w:tc>
      </w:tr>
      <w:tr>
        <w:tc>
          <w:tcPr>
            <w:tcW w:type="dxa" w:w="6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9"/>
                <w:szCs w:val="19"/>
              </w:rPr>
              <w:t xml:space="preserve">15</w:t>
            </w:r>
          </w:p>
        </w:tc>
        <w:tc>
          <w:tcPr>
            <w:tcW w:type="dxa" w:w="352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bCs/>
                <w:color w:val="15203A"/>
                <w:sz w:val="18"/>
                <w:szCs w:val="18"/>
              </w:rPr>
              <w:t xml:space="preserve">Capstone, reproducibility &amp; communication</w:t>
            </w:r>
          </w:p>
        </w:tc>
        <w:tc>
          <w:tcPr>
            <w:tcW w:type="dxa" w:w="274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color w:val="5B6B82"/>
                <w:sz w:val="17"/>
                <w:szCs w:val="17"/>
              </w:rPr>
              <w:t xml:space="preserve">Gelman &amp; Loken</w:t>
            </w:r>
          </w:p>
        </w:tc>
        <w:tc>
          <w:tcPr>
            <w:tcW w:type="dxa" w:w="2480"/>
            <w:tcBorders>
              <w:top w:val="single" w:color="DCE3EC" w:sz="2"/>
              <w:left w:val="single" w:color="DCE3EC" w:sz="2"/>
              <w:bottom w:val="single" w:color="DCE3EC" w:sz="2"/>
              <w:right w:val="single" w:color="DCE3EC" w:sz="2"/>
            </w:tcBorders>
            <w:tcMar>
              <w:top w:type="dxa" w:w="70"/>
              <w:left w:type="dxa" w:w="110"/>
              <w:bottom w:type="dxa" w:w="70"/>
              <w:right w:type="dxa" w:w="110"/>
            </w:tcMar>
            <w:vAlign w:val="top"/>
          </w:tcPr>
          <w:p>
            <w:pPr>
              <w:spacing w:after="0"/>
            </w:pPr>
            <w:r>
              <w:rPr>
                <w:rFonts w:ascii="Calibri" w:cs="Calibri" w:eastAsia="Calibri" w:hAnsi="Calibri"/>
                <w:b w:val="false"/>
                <w:bCs w:val="false"/>
                <w:color w:val="0B6A6E"/>
                <w:sz w:val="17"/>
                <w:szCs w:val="17"/>
              </w:rPr>
              <w:t xml:space="preserve">Capstone</w:t>
            </w:r>
          </w:p>
        </w:tc>
      </w:tr>
    </w:tbl>
    <w:p>
      <w:pPr>
        <w:spacing w:after="60" w:line="276"/>
      </w:pPr>
      <w:r>
        <w:rPr>
          <w:rFonts w:ascii="Calibri" w:cs="Calibri" w:eastAsia="Calibri" w:hAnsi="Calibri"/>
          <w:i/>
          <w:iCs/>
          <w:color w:val="5B6B82"/>
          <w:sz w:val="18"/>
          <w:szCs w:val="18"/>
        </w:rPr>
        <w:t xml:space="preserve">PS = problem set · Lab = computer lab. The midterm in Week 8 covers Weeks 1–7.</w:t>
      </w:r>
    </w:p>
    <w:p>
      <w:r>
        <w:br w:type="page"/>
      </w:r>
    </w:p>
    <w:p>
      <w:pPr>
        <w:pStyle w:val="Heading1"/>
        <w:pBdr>
          <w:bottom w:val="single" w:color="0E8388" w:sz="10" w:space="4"/>
        </w:pBdr>
        <w:spacing w:after="140" w:before="320"/>
      </w:pPr>
      <w:r>
        <w:rPr>
          <w:rFonts w:ascii="Cambria" w:cs="Cambria" w:eastAsia="Cambria" w:hAnsi="Cambria"/>
          <w:b/>
          <w:bCs/>
          <w:color w:val="15203A"/>
          <w:sz w:val="30"/>
          <w:szCs w:val="30"/>
        </w:rPr>
        <w:t xml:space="preserve">Weekly detail</w:t>
      </w:r>
    </w:p>
    <w:p>
      <w:pPr>
        <w:spacing w:after="60" w:before="220"/>
      </w:pPr>
      <w:r>
        <w:rPr>
          <w:rFonts w:ascii="Cambria" w:cs="Cambria" w:eastAsia="Cambria" w:hAnsi="Cambria"/>
          <w:b/>
          <w:bCs/>
          <w:color w:val="C8821F"/>
          <w:sz w:val="19"/>
          <w:szCs w:val="19"/>
        </w:rPr>
        <w:t xml:space="preserve">BLOCK I — FOUNDATIONS</w:t>
      </w:r>
    </w:p>
    <w:p>
      <w:pPr>
        <w:pStyle w:val="Heading2"/>
        <w:spacing w:after="100" w:before="240"/>
      </w:pPr>
      <w:r>
        <w:rPr>
          <w:rFonts w:ascii="Cambria" w:cs="Cambria" w:eastAsia="Cambria" w:hAnsi="Cambria"/>
          <w:b/>
          <w:bCs/>
          <w:color w:val="0B6A6E"/>
          <w:sz w:val="25"/>
          <w:szCs w:val="25"/>
        </w:rPr>
        <w:t xml:space="preserve">Week 1 — The causal question</w:t>
      </w:r>
    </w:p>
    <w:p>
      <w:pPr>
        <w:spacing w:after="100"/>
      </w:pPr>
      <w:r>
        <w:rPr>
          <w:rFonts w:ascii="Calibri" w:cs="Calibri" w:eastAsia="Calibri" w:hAnsi="Calibri"/>
          <w:i/>
          <w:iCs/>
          <w:color w:val="0B6A6E"/>
          <w:sz w:val="21"/>
          <w:szCs w:val="21"/>
        </w:rPr>
        <w:t xml:space="preserve">Why prediction is not intervention, why correlation is not causation, and the vocabulary that makes the difference precise.</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Prediction vs. intervention; the do-operator and why P(Y|do(X)) ≠ P(Y|X)</w:t>
      </w:r>
    </w:p>
    <w:p>
      <w:pPr>
        <w:pStyle w:val="ListParagraph"/>
        <w:numPr>
          <w:ilvl w:val="0"/>
          <w:numId w:val="2"/>
        </w:numPr>
        <w:spacing w:after="60" w:line="268"/>
      </w:pPr>
      <w:r>
        <w:rPr>
          <w:rFonts w:ascii="Calibri" w:cs="Calibri" w:eastAsia="Calibri" w:hAnsi="Calibri"/>
          <w:color w:val="20304A"/>
          <w:sz w:val="21"/>
          <w:szCs w:val="21"/>
        </w:rPr>
        <w:t xml:space="preserve">Three engines of spurious association: confounding, reverse causation, selection</w:t>
      </w:r>
    </w:p>
    <w:p>
      <w:pPr>
        <w:pStyle w:val="ListParagraph"/>
        <w:numPr>
          <w:ilvl w:val="0"/>
          <w:numId w:val="2"/>
        </w:numPr>
        <w:spacing w:after="60" w:line="268"/>
      </w:pPr>
      <w:r>
        <w:rPr>
          <w:rFonts w:ascii="Calibri" w:cs="Calibri" w:eastAsia="Calibri" w:hAnsi="Calibri"/>
          <w:color w:val="20304A"/>
          <w:sz w:val="21"/>
          <w:szCs w:val="21"/>
        </w:rPr>
        <w:t xml:space="preserve">Simpson's paradox — and why the causal graph, not the data, breaks the tie</w:t>
      </w:r>
    </w:p>
    <w:p>
      <w:pPr>
        <w:pStyle w:val="ListParagraph"/>
        <w:numPr>
          <w:ilvl w:val="0"/>
          <w:numId w:val="2"/>
        </w:numPr>
        <w:spacing w:after="60" w:line="268"/>
      </w:pPr>
      <w:r>
        <w:rPr>
          <w:rFonts w:ascii="Calibri" w:cs="Calibri" w:eastAsia="Calibri" w:hAnsi="Calibri"/>
          <w:color w:val="20304A"/>
          <w:sz w:val="21"/>
          <w:szCs w:val="21"/>
        </w:rPr>
        <w:t xml:space="preserve">Pearl's ladder of causation: association, intervention, counterfactuals</w:t>
      </w:r>
    </w:p>
    <w:p>
      <w:pPr>
        <w:pStyle w:val="ListParagraph"/>
        <w:numPr>
          <w:ilvl w:val="0"/>
          <w:numId w:val="2"/>
        </w:numPr>
        <w:spacing w:after="60" w:line="268"/>
      </w:pPr>
      <w:r>
        <w:rPr>
          <w:rFonts w:ascii="Calibri" w:cs="Calibri" w:eastAsia="Calibri" w:hAnsi="Calibri"/>
          <w:color w:val="20304A"/>
          <w:sz w:val="21"/>
          <w:szCs w:val="21"/>
        </w:rPr>
        <w:t xml:space="preserve">A five-step workflow: question → assumptions → identification → estimation → validation</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Hernán &amp; Robins, Ch. 1; Pearl, Glymour &amp; Jewell, Primer Ch. 1; Huntington-Klein, The Effect, Ch. 1–2.</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Kidney-stone treatment (Charig et al. 1986); the LaLonde (1986) job-training benchmark.</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Problem Set 1 — spot the confounder/collider; Lab 0 — environment setup + GitHub.</w:t>
      </w:r>
    </w:p>
    <w:p>
      <w:pPr>
        <w:pStyle w:val="Heading2"/>
        <w:spacing w:after="100" w:before="240"/>
      </w:pPr>
      <w:r>
        <w:rPr>
          <w:rFonts w:ascii="Cambria" w:cs="Cambria" w:eastAsia="Cambria" w:hAnsi="Cambria"/>
          <w:b/>
          <w:bCs/>
          <w:color w:val="0B6A6E"/>
          <w:sz w:val="25"/>
          <w:szCs w:val="25"/>
        </w:rPr>
        <w:t xml:space="preserve">Week 2 — Potential outcomes</w:t>
      </w:r>
    </w:p>
    <w:p>
      <w:pPr>
        <w:spacing w:after="100"/>
      </w:pPr>
      <w:r>
        <w:rPr>
          <w:rFonts w:ascii="Calibri" w:cs="Calibri" w:eastAsia="Calibri" w:hAnsi="Calibri"/>
          <w:i/>
          <w:iCs/>
          <w:color w:val="0B6A6E"/>
          <w:sz w:val="21"/>
          <w:szCs w:val="21"/>
        </w:rPr>
        <w:t xml:space="preserve">The Neyman–Rubin framework: counterfactuals, estimands, and the assumptions that license a causal claim.</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Potential outcomes Y(1), Y(0); the fundamental problem of causal inference</w:t>
      </w:r>
    </w:p>
    <w:p>
      <w:pPr>
        <w:pStyle w:val="ListParagraph"/>
        <w:numPr>
          <w:ilvl w:val="0"/>
          <w:numId w:val="2"/>
        </w:numPr>
        <w:spacing w:after="60" w:line="268"/>
      </w:pPr>
      <w:r>
        <w:rPr>
          <w:rFonts w:ascii="Calibri" w:cs="Calibri" w:eastAsia="Calibri" w:hAnsi="Calibri"/>
          <w:color w:val="20304A"/>
          <w:sz w:val="21"/>
          <w:szCs w:val="21"/>
        </w:rPr>
        <w:t xml:space="preserve">Estimands: ATE, ATT, CATE — and why the target must be stated first</w:t>
      </w:r>
    </w:p>
    <w:p>
      <w:pPr>
        <w:pStyle w:val="ListParagraph"/>
        <w:numPr>
          <w:ilvl w:val="0"/>
          <w:numId w:val="2"/>
        </w:numPr>
        <w:spacing w:after="60" w:line="268"/>
      </w:pPr>
      <w:r>
        <w:rPr>
          <w:rFonts w:ascii="Calibri" w:cs="Calibri" w:eastAsia="Calibri" w:hAnsi="Calibri"/>
          <w:color w:val="20304A"/>
          <w:sz w:val="21"/>
          <w:szCs w:val="21"/>
        </w:rPr>
        <w:t xml:space="preserve">Identifying assumptions: SUTVA, consistency, exchangeability, positivity</w:t>
      </w:r>
    </w:p>
    <w:p>
      <w:pPr>
        <w:pStyle w:val="ListParagraph"/>
        <w:numPr>
          <w:ilvl w:val="0"/>
          <w:numId w:val="2"/>
        </w:numPr>
        <w:spacing w:after="60" w:line="268"/>
      </w:pPr>
      <w:r>
        <w:rPr>
          <w:rFonts w:ascii="Calibri" w:cs="Calibri" w:eastAsia="Calibri" w:hAnsi="Calibri"/>
          <w:color w:val="20304A"/>
          <w:sz w:val="21"/>
          <w:szCs w:val="21"/>
        </w:rPr>
        <w:t xml:space="preserve">Randomization as the assumption-light gold standard</w:t>
      </w:r>
    </w:p>
    <w:p>
      <w:pPr>
        <w:pStyle w:val="ListParagraph"/>
        <w:numPr>
          <w:ilvl w:val="0"/>
          <w:numId w:val="2"/>
        </w:numPr>
        <w:spacing w:after="60" w:line="268"/>
      </w:pPr>
      <w:r>
        <w:rPr>
          <w:rFonts w:ascii="Calibri" w:cs="Calibri" w:eastAsia="Calibri" w:hAnsi="Calibri"/>
          <w:color w:val="20304A"/>
          <w:sz w:val="21"/>
          <w:szCs w:val="21"/>
        </w:rPr>
        <w:t xml:space="preserve">Identification vs. estimation: two distinct steps</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Hernán &amp; Robins, Ch. 1–3; Imbens &amp; Rubin, Ch. 1–2.</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Perry Preschool study; defining an estimand for a clinical trial.</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Problem Set 2 — define estimands and check identification assumptions on three scenarios.</w:t>
      </w:r>
    </w:p>
    <w:p>
      <w:pPr>
        <w:pStyle w:val="Heading2"/>
        <w:spacing w:after="100" w:before="240"/>
      </w:pPr>
      <w:r>
        <w:rPr>
          <w:rFonts w:ascii="Cambria" w:cs="Cambria" w:eastAsia="Cambria" w:hAnsi="Cambria"/>
          <w:b/>
          <w:bCs/>
          <w:color w:val="0B6A6E"/>
          <w:sz w:val="25"/>
          <w:szCs w:val="25"/>
        </w:rPr>
        <w:t xml:space="preserve">Week 3 — Randomized experiments &amp; A/B testing</w:t>
      </w:r>
    </w:p>
    <w:p>
      <w:pPr>
        <w:spacing w:after="100"/>
      </w:pPr>
      <w:r>
        <w:rPr>
          <w:rFonts w:ascii="Calibri" w:cs="Calibri" w:eastAsia="Calibri" w:hAnsi="Calibri"/>
          <w:i/>
          <w:iCs/>
          <w:color w:val="0B6A6E"/>
          <w:sz w:val="21"/>
          <w:szCs w:val="21"/>
        </w:rPr>
        <w:t xml:space="preserve">Designing and analyzing experiments — the cleanest route to causation — and the failure modes that appear at scale.</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Completely randomized, stratified, and block designs; covariate balance</w:t>
      </w:r>
    </w:p>
    <w:p>
      <w:pPr>
        <w:pStyle w:val="ListParagraph"/>
        <w:numPr>
          <w:ilvl w:val="0"/>
          <w:numId w:val="2"/>
        </w:numPr>
        <w:spacing w:after="60" w:line="268"/>
      </w:pPr>
      <w:r>
        <w:rPr>
          <w:rFonts w:ascii="Calibri" w:cs="Calibri" w:eastAsia="Calibri" w:hAnsi="Calibri"/>
          <w:color w:val="20304A"/>
          <w:sz w:val="21"/>
          <w:szCs w:val="21"/>
        </w:rPr>
        <w:t xml:space="preserve">Power, minimum detectable effect, and sample-size planning</w:t>
      </w:r>
    </w:p>
    <w:p>
      <w:pPr>
        <w:pStyle w:val="ListParagraph"/>
        <w:numPr>
          <w:ilvl w:val="0"/>
          <w:numId w:val="2"/>
        </w:numPr>
        <w:spacing w:after="60" w:line="268"/>
      </w:pPr>
      <w:r>
        <w:rPr>
          <w:rFonts w:ascii="Calibri" w:cs="Calibri" w:eastAsia="Calibri" w:hAnsi="Calibri"/>
          <w:color w:val="20304A"/>
          <w:sz w:val="21"/>
          <w:szCs w:val="21"/>
        </w:rPr>
        <w:t xml:space="preserve">Variance reduction with CUPED and covariate adjustment</w:t>
      </w:r>
    </w:p>
    <w:p>
      <w:pPr>
        <w:pStyle w:val="ListParagraph"/>
        <w:numPr>
          <w:ilvl w:val="0"/>
          <w:numId w:val="2"/>
        </w:numPr>
        <w:spacing w:after="60" w:line="268"/>
      </w:pPr>
      <w:r>
        <w:rPr>
          <w:rFonts w:ascii="Calibri" w:cs="Calibri" w:eastAsia="Calibri" w:hAnsi="Calibri"/>
          <w:color w:val="20304A"/>
          <w:sz w:val="21"/>
          <w:szCs w:val="21"/>
        </w:rPr>
        <w:t xml:space="preserve">Intention-to-treat vs. per-protocol; noncompliance and attrition</w:t>
      </w:r>
    </w:p>
    <w:p>
      <w:pPr>
        <w:pStyle w:val="ListParagraph"/>
        <w:numPr>
          <w:ilvl w:val="0"/>
          <w:numId w:val="2"/>
        </w:numPr>
        <w:spacing w:after="60" w:line="268"/>
      </w:pPr>
      <w:r>
        <w:rPr>
          <w:rFonts w:ascii="Calibri" w:cs="Calibri" w:eastAsia="Calibri" w:hAnsi="Calibri"/>
          <w:color w:val="20304A"/>
          <w:sz w:val="21"/>
          <w:szCs w:val="21"/>
        </w:rPr>
        <w:t xml:space="preserve">Interference, peeking, and multiple testing in online experiments</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Cunningham, The Mixtape (potential outcomes &amp; RCTs); Kohavi, Tang &amp; Xu, Trustworthy Online Experiments (sel.).</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A large-scale technology A/B test; a randomized agricultural/field experiment.</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Lab 1 — design and analyze an A/B test: power calc, CUPED, ITT vs. per-protocol.</w:t>
      </w:r>
    </w:p>
    <w:p>
      <w:pPr>
        <w:pStyle w:val="Heading2"/>
        <w:spacing w:after="100" w:before="240"/>
      </w:pPr>
      <w:r>
        <w:rPr>
          <w:rFonts w:ascii="Cambria" w:cs="Cambria" w:eastAsia="Cambria" w:hAnsi="Cambria"/>
          <w:b/>
          <w:bCs/>
          <w:color w:val="0B6A6E"/>
          <w:sz w:val="25"/>
          <w:szCs w:val="25"/>
        </w:rPr>
        <w:t xml:space="preserve">Week 4 — Causal graphs (DAGs)</w:t>
      </w:r>
    </w:p>
    <w:p>
      <w:pPr>
        <w:spacing w:after="100"/>
      </w:pPr>
      <w:r>
        <w:rPr>
          <w:rFonts w:ascii="Calibri" w:cs="Calibri" w:eastAsia="Calibri" w:hAnsi="Calibri"/>
          <w:i/>
          <w:iCs/>
          <w:color w:val="0B6A6E"/>
          <w:sz w:val="21"/>
          <w:szCs w:val="21"/>
        </w:rPr>
        <w:t xml:space="preserve">A visual algebra for assumptions: read confounders, colliders, and mediators directly off the graph.</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Nodes, edges, paths; chains, forks, and colliders</w:t>
      </w:r>
    </w:p>
    <w:p>
      <w:pPr>
        <w:pStyle w:val="ListParagraph"/>
        <w:numPr>
          <w:ilvl w:val="0"/>
          <w:numId w:val="2"/>
        </w:numPr>
        <w:spacing w:after="60" w:line="268"/>
      </w:pPr>
      <w:r>
        <w:rPr>
          <w:rFonts w:ascii="Calibri" w:cs="Calibri" w:eastAsia="Calibri" w:hAnsi="Calibri"/>
          <w:color w:val="20304A"/>
          <w:sz w:val="21"/>
          <w:szCs w:val="21"/>
        </w:rPr>
        <w:t xml:space="preserve">d-separation: when does conditioning open or close a path?</w:t>
      </w:r>
    </w:p>
    <w:p>
      <w:pPr>
        <w:pStyle w:val="ListParagraph"/>
        <w:numPr>
          <w:ilvl w:val="0"/>
          <w:numId w:val="2"/>
        </w:numPr>
        <w:spacing w:after="60" w:line="268"/>
      </w:pPr>
      <w:r>
        <w:rPr>
          <w:rFonts w:ascii="Calibri" w:cs="Calibri" w:eastAsia="Calibri" w:hAnsi="Calibri"/>
          <w:color w:val="20304A"/>
          <w:sz w:val="21"/>
          <w:szCs w:val="21"/>
        </w:rPr>
        <w:t xml:space="preserve">Back-door and front-door criteria; valid adjustment sets</w:t>
      </w:r>
    </w:p>
    <w:p>
      <w:pPr>
        <w:pStyle w:val="ListParagraph"/>
        <w:numPr>
          <w:ilvl w:val="0"/>
          <w:numId w:val="2"/>
        </w:numPr>
        <w:spacing w:after="60" w:line="268"/>
      </w:pPr>
      <w:r>
        <w:rPr>
          <w:rFonts w:ascii="Calibri" w:cs="Calibri" w:eastAsia="Calibri" w:hAnsi="Calibri"/>
          <w:color w:val="20304A"/>
          <w:sz w:val="21"/>
          <w:szCs w:val="21"/>
        </w:rPr>
        <w:t xml:space="preserve">Testable implications and falsifying a DAG with data</w:t>
      </w:r>
    </w:p>
    <w:p>
      <w:pPr>
        <w:pStyle w:val="ListParagraph"/>
        <w:numPr>
          <w:ilvl w:val="0"/>
          <w:numId w:val="2"/>
        </w:numPr>
        <w:spacing w:after="60" w:line="268"/>
      </w:pPr>
      <w:r>
        <w:rPr>
          <w:rFonts w:ascii="Calibri" w:cs="Calibri" w:eastAsia="Calibri" w:hAnsi="Calibri"/>
          <w:color w:val="20304A"/>
          <w:sz w:val="21"/>
          <w:szCs w:val="21"/>
        </w:rPr>
        <w:t xml:space="preserve">Building a DAG from domain knowledge — a structured-biology / epidemiology example</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Pearl Primer, Ch. 2–3; Hernán &amp; Robins, Ch. 6–7; Cunningham, The Mixtape (DAG chapter).</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Encoding a DAG for smoking → cardiovascular disease and deriving its testable implications.</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Problem Set 3 — d-separation &amp; adjustment sets; Lab 2 — encode a DAG in dagitty/ggdag.</w:t>
      </w:r>
    </w:p>
    <w:p>
      <w:pPr>
        <w:spacing w:after="60" w:before="220"/>
      </w:pPr>
      <w:r>
        <w:rPr>
          <w:rFonts w:ascii="Cambria" w:cs="Cambria" w:eastAsia="Cambria" w:hAnsi="Cambria"/>
          <w:b/>
          <w:bCs/>
          <w:color w:val="C8821F"/>
          <w:sz w:val="19"/>
          <w:szCs w:val="19"/>
        </w:rPr>
        <w:t xml:space="preserve">BLOCK II — ADJUSTMENT FOR CONFOUNDING</w:t>
      </w:r>
    </w:p>
    <w:p>
      <w:pPr>
        <w:pStyle w:val="Heading2"/>
        <w:spacing w:after="100" w:before="240"/>
      </w:pPr>
      <w:r>
        <w:rPr>
          <w:rFonts w:ascii="Cambria" w:cs="Cambria" w:eastAsia="Cambria" w:hAnsi="Cambria"/>
          <w:b/>
          <w:bCs/>
          <w:color w:val="0B6A6E"/>
          <w:sz w:val="25"/>
          <w:szCs w:val="25"/>
        </w:rPr>
        <w:t xml:space="preserve">Week 5 — Regression &amp; adjustment</w:t>
      </w:r>
    </w:p>
    <w:p>
      <w:pPr>
        <w:spacing w:after="100"/>
      </w:pPr>
      <w:r>
        <w:rPr>
          <w:rFonts w:ascii="Calibri" w:cs="Calibri" w:eastAsia="Calibri" w:hAnsi="Calibri"/>
          <w:i/>
          <w:iCs/>
          <w:color w:val="0B6A6E"/>
          <w:sz w:val="21"/>
          <w:szCs w:val="21"/>
        </w:rPr>
        <w:t xml:space="preserve">What regression can and cannot do for causation — and the precise ways that “controlling for” backfires.</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OLS as covariate adjustment; the conditional expectation function</w:t>
      </w:r>
    </w:p>
    <w:p>
      <w:pPr>
        <w:pStyle w:val="ListParagraph"/>
        <w:numPr>
          <w:ilvl w:val="0"/>
          <w:numId w:val="2"/>
        </w:numPr>
        <w:spacing w:after="60" w:line="268"/>
      </w:pPr>
      <w:r>
        <w:rPr>
          <w:rFonts w:ascii="Calibri" w:cs="Calibri" w:eastAsia="Calibri" w:hAnsi="Calibri"/>
          <w:color w:val="20304A"/>
          <w:sz w:val="21"/>
          <w:szCs w:val="21"/>
        </w:rPr>
        <w:t xml:space="preserve">Omitted-variable bias and what “controlling for X” really means</w:t>
      </w:r>
    </w:p>
    <w:p>
      <w:pPr>
        <w:pStyle w:val="ListParagraph"/>
        <w:numPr>
          <w:ilvl w:val="0"/>
          <w:numId w:val="2"/>
        </w:numPr>
        <w:spacing w:after="60" w:line="268"/>
      </w:pPr>
      <w:r>
        <w:rPr>
          <w:rFonts w:ascii="Calibri" w:cs="Calibri" w:eastAsia="Calibri" w:hAnsi="Calibri"/>
          <w:color w:val="20304A"/>
          <w:sz w:val="21"/>
          <w:szCs w:val="21"/>
        </w:rPr>
        <w:t xml:space="preserve">Good vs. bad controls; the Table 2 fallacy</w:t>
      </w:r>
    </w:p>
    <w:p>
      <w:pPr>
        <w:pStyle w:val="ListParagraph"/>
        <w:numPr>
          <w:ilvl w:val="0"/>
          <w:numId w:val="2"/>
        </w:numPr>
        <w:spacing w:after="60" w:line="268"/>
      </w:pPr>
      <w:r>
        <w:rPr>
          <w:rFonts w:ascii="Calibri" w:cs="Calibri" w:eastAsia="Calibri" w:hAnsi="Calibri"/>
          <w:color w:val="20304A"/>
          <w:sz w:val="21"/>
          <w:szCs w:val="21"/>
        </w:rPr>
        <w:t xml:space="preserve">Collider and mediator bias from over-adjustment</w:t>
      </w:r>
    </w:p>
    <w:p>
      <w:pPr>
        <w:pStyle w:val="ListParagraph"/>
        <w:numPr>
          <w:ilvl w:val="0"/>
          <w:numId w:val="2"/>
        </w:numPr>
        <w:spacing w:after="60" w:line="268"/>
      </w:pPr>
      <w:r>
        <w:rPr>
          <w:rFonts w:ascii="Calibri" w:cs="Calibri" w:eastAsia="Calibri" w:hAnsi="Calibri"/>
          <w:color w:val="20304A"/>
          <w:sz w:val="21"/>
          <w:szCs w:val="21"/>
        </w:rPr>
        <w:t xml:space="preserve">Interaction and effect modification</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Angrist &amp; Pischke, Mostly Harmless, Ch. 3; The Effect, Ch. 4–6; Cinelli, Forney &amp; Pearl, “Good and Bad Controls”.</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Re-analyzing an observational health dataset; the birth-weight “paradox.”</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Problem Set 4 — classify each control with a DAG; a short reproducible regression analysis.</w:t>
      </w:r>
    </w:p>
    <w:p>
      <w:pPr>
        <w:pStyle w:val="Heading2"/>
        <w:spacing w:after="100" w:before="240"/>
      </w:pPr>
      <w:r>
        <w:rPr>
          <w:rFonts w:ascii="Cambria" w:cs="Cambria" w:eastAsia="Cambria" w:hAnsi="Cambria"/>
          <w:b/>
          <w:bCs/>
          <w:color w:val="0B6A6E"/>
          <w:sz w:val="25"/>
          <w:szCs w:val="25"/>
        </w:rPr>
        <w:t xml:space="preserve">Week 6 — Matching &amp; propensity scores</w:t>
      </w:r>
    </w:p>
    <w:p>
      <w:pPr>
        <w:spacing w:after="100"/>
      </w:pPr>
      <w:r>
        <w:rPr>
          <w:rFonts w:ascii="Calibri" w:cs="Calibri" w:eastAsia="Calibri" w:hAnsi="Calibri"/>
          <w:i/>
          <w:iCs/>
          <w:color w:val="0B6A6E"/>
          <w:sz w:val="21"/>
          <w:szCs w:val="21"/>
        </w:rPr>
        <w:t xml:space="preserve">Recreating a randomized comparison by balancing the covariate distributions of treated and control units.</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Exact, coarsened, and nearest-neighbor matching</w:t>
      </w:r>
    </w:p>
    <w:p>
      <w:pPr>
        <w:pStyle w:val="ListParagraph"/>
        <w:numPr>
          <w:ilvl w:val="0"/>
          <w:numId w:val="2"/>
        </w:numPr>
        <w:spacing w:after="60" w:line="268"/>
      </w:pPr>
      <w:r>
        <w:rPr>
          <w:rFonts w:ascii="Calibri" w:cs="Calibri" w:eastAsia="Calibri" w:hAnsi="Calibri"/>
          <w:color w:val="20304A"/>
          <w:sz w:val="21"/>
          <w:szCs w:val="21"/>
        </w:rPr>
        <w:t xml:space="preserve">The propensity score and its balancing property</w:t>
      </w:r>
    </w:p>
    <w:p>
      <w:pPr>
        <w:pStyle w:val="ListParagraph"/>
        <w:numPr>
          <w:ilvl w:val="0"/>
          <w:numId w:val="2"/>
        </w:numPr>
        <w:spacing w:after="60" w:line="268"/>
      </w:pPr>
      <w:r>
        <w:rPr>
          <w:rFonts w:ascii="Calibri" w:cs="Calibri" w:eastAsia="Calibri" w:hAnsi="Calibri"/>
          <w:color w:val="20304A"/>
          <w:sz w:val="21"/>
          <w:szCs w:val="21"/>
        </w:rPr>
        <w:t xml:space="preserve">Balance diagnostics and common support / overlap</w:t>
      </w:r>
    </w:p>
    <w:p>
      <w:pPr>
        <w:pStyle w:val="ListParagraph"/>
        <w:numPr>
          <w:ilvl w:val="0"/>
          <w:numId w:val="2"/>
        </w:numPr>
        <w:spacing w:after="60" w:line="268"/>
      </w:pPr>
      <w:r>
        <w:rPr>
          <w:rFonts w:ascii="Calibri" w:cs="Calibri" w:eastAsia="Calibri" w:hAnsi="Calibri"/>
          <w:color w:val="20304A"/>
          <w:sz w:val="21"/>
          <w:szCs w:val="21"/>
        </w:rPr>
        <w:t xml:space="preserve">Calipers, 1:k matching, and matching with replacement</w:t>
      </w:r>
    </w:p>
    <w:p>
      <w:pPr>
        <w:pStyle w:val="ListParagraph"/>
        <w:numPr>
          <w:ilvl w:val="0"/>
          <w:numId w:val="2"/>
        </w:numPr>
        <w:spacing w:after="60" w:line="268"/>
      </w:pPr>
      <w:r>
        <w:rPr>
          <w:rFonts w:ascii="Calibri" w:cs="Calibri" w:eastAsia="Calibri" w:hAnsi="Calibri"/>
          <w:color w:val="20304A"/>
          <w:sz w:val="21"/>
          <w:szCs w:val="21"/>
        </w:rPr>
        <w:t xml:space="preserve">Inference after matching</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Imbens &amp; Rubin, Ch. 12–15; The Mixtape (matching &amp; subclassification); Stuart (2010), matching review.</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NSW vs. PSID controls — does matching recover the experimental benchmark?</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Lab 3 — MatchIt + cobalt: match, assess balance, estimate the ATT.</w:t>
      </w:r>
    </w:p>
    <w:p>
      <w:pPr>
        <w:pStyle w:val="Heading2"/>
        <w:spacing w:after="100" w:before="240"/>
      </w:pPr>
      <w:r>
        <w:rPr>
          <w:rFonts w:ascii="Cambria" w:cs="Cambria" w:eastAsia="Cambria" w:hAnsi="Cambria"/>
          <w:b/>
          <w:bCs/>
          <w:color w:val="0B6A6E"/>
          <w:sz w:val="25"/>
          <w:szCs w:val="25"/>
        </w:rPr>
        <w:t xml:space="preserve">Week 7 — Weighting &amp; doubly robust estimation</w:t>
      </w:r>
    </w:p>
    <w:p>
      <w:pPr>
        <w:spacing w:after="100"/>
      </w:pPr>
      <w:r>
        <w:rPr>
          <w:rFonts w:ascii="Calibri" w:cs="Calibri" w:eastAsia="Calibri" w:hAnsi="Calibri"/>
          <w:i/>
          <w:iCs/>
          <w:color w:val="0B6A6E"/>
          <w:sz w:val="21"/>
          <w:szCs w:val="21"/>
        </w:rPr>
        <w:t xml:space="preserve">Inverse-probability weighting, stabilized weights, and estimators that survive one modeling mistake.</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Inverse-probability weighting and the pseudo-population</w:t>
      </w:r>
    </w:p>
    <w:p>
      <w:pPr>
        <w:pStyle w:val="ListParagraph"/>
        <w:numPr>
          <w:ilvl w:val="0"/>
          <w:numId w:val="2"/>
        </w:numPr>
        <w:spacing w:after="60" w:line="268"/>
      </w:pPr>
      <w:r>
        <w:rPr>
          <w:rFonts w:ascii="Calibri" w:cs="Calibri" w:eastAsia="Calibri" w:hAnsi="Calibri"/>
          <w:color w:val="20304A"/>
          <w:sz w:val="21"/>
          <w:szCs w:val="21"/>
        </w:rPr>
        <w:t xml:space="preserve">Stabilized and truncated weights; diagnosing extreme weights</w:t>
      </w:r>
    </w:p>
    <w:p>
      <w:pPr>
        <w:pStyle w:val="ListParagraph"/>
        <w:numPr>
          <w:ilvl w:val="0"/>
          <w:numId w:val="2"/>
        </w:numPr>
        <w:spacing w:after="60" w:line="268"/>
      </w:pPr>
      <w:r>
        <w:rPr>
          <w:rFonts w:ascii="Calibri" w:cs="Calibri" w:eastAsia="Calibri" w:hAnsi="Calibri"/>
          <w:color w:val="20304A"/>
          <w:sz w:val="21"/>
          <w:szCs w:val="21"/>
        </w:rPr>
        <w:t xml:space="preserve">Marginal structural models</w:t>
      </w:r>
    </w:p>
    <w:p>
      <w:pPr>
        <w:pStyle w:val="ListParagraph"/>
        <w:numPr>
          <w:ilvl w:val="0"/>
          <w:numId w:val="2"/>
        </w:numPr>
        <w:spacing w:after="60" w:line="268"/>
      </w:pPr>
      <w:r>
        <w:rPr>
          <w:rFonts w:ascii="Calibri" w:cs="Calibri" w:eastAsia="Calibri" w:hAnsi="Calibri"/>
          <w:color w:val="20304A"/>
          <w:sz w:val="21"/>
          <w:szCs w:val="21"/>
        </w:rPr>
        <w:t xml:space="preserve">Augmented IPW / doubly robust estimation; a first look at targeted learning</w:t>
      </w:r>
    </w:p>
    <w:p>
      <w:pPr>
        <w:pStyle w:val="ListParagraph"/>
        <w:numPr>
          <w:ilvl w:val="0"/>
          <w:numId w:val="2"/>
        </w:numPr>
        <w:spacing w:after="60" w:line="268"/>
      </w:pPr>
      <w:r>
        <w:rPr>
          <w:rFonts w:ascii="Calibri" w:cs="Calibri" w:eastAsia="Calibri" w:hAnsi="Calibri"/>
          <w:color w:val="20304A"/>
          <w:sz w:val="21"/>
          <w:szCs w:val="21"/>
        </w:rPr>
        <w:t xml:space="preserve">Positivity violations and what to do about them</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Hernán &amp; Robins, Ch. 12–13; The Effect (weighting sections).</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A time-varying treatment in an epidemiological cohort.</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Problem Set 5 + Lab 4 — WeightIt / AIPW; compare against the matching estimate.</w:t>
      </w:r>
    </w:p>
    <w:p>
      <w:pPr>
        <w:spacing w:after="60" w:before="220"/>
      </w:pPr>
      <w:r>
        <w:rPr>
          <w:rFonts w:ascii="Cambria" w:cs="Cambria" w:eastAsia="Cambria" w:hAnsi="Cambria"/>
          <w:b/>
          <w:bCs/>
          <w:color w:val="C8821F"/>
          <w:sz w:val="19"/>
          <w:szCs w:val="19"/>
        </w:rPr>
        <w:t xml:space="preserve">BLOCK III — QUASI-EXPERIMENTAL DESIGNS</w:t>
      </w:r>
    </w:p>
    <w:p>
      <w:pPr>
        <w:pStyle w:val="Heading2"/>
        <w:spacing w:after="100" w:before="240"/>
      </w:pPr>
      <w:r>
        <w:rPr>
          <w:rFonts w:ascii="Cambria" w:cs="Cambria" w:eastAsia="Cambria" w:hAnsi="Cambria"/>
          <w:b/>
          <w:bCs/>
          <w:color w:val="0B6A6E"/>
          <w:sz w:val="25"/>
          <w:szCs w:val="25"/>
        </w:rPr>
        <w:t xml:space="preserve">Week 8 — Instrumental variables &amp; Mendelian randomization</w:t>
      </w:r>
    </w:p>
    <w:p>
      <w:pPr>
        <w:spacing w:after="100"/>
      </w:pPr>
      <w:r>
        <w:rPr>
          <w:rFonts w:ascii="Calibri" w:cs="Calibri" w:eastAsia="Calibri" w:hAnsi="Calibri"/>
          <w:i/>
          <w:iCs/>
          <w:color w:val="0B6A6E"/>
          <w:sz w:val="21"/>
          <w:szCs w:val="21"/>
        </w:rPr>
        <w:t xml:space="preserve">When the confounder can't be measured, find a valve that moves treatment and nothing else. (Midterm week.)</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IV assumptions: relevance, exclusion, independence, monotonicity</w:t>
      </w:r>
    </w:p>
    <w:p>
      <w:pPr>
        <w:pStyle w:val="ListParagraph"/>
        <w:numPr>
          <w:ilvl w:val="0"/>
          <w:numId w:val="2"/>
        </w:numPr>
        <w:spacing w:after="60" w:line="268"/>
      </w:pPr>
      <w:r>
        <w:rPr>
          <w:rFonts w:ascii="Calibri" w:cs="Calibri" w:eastAsia="Calibri" w:hAnsi="Calibri"/>
          <w:color w:val="20304A"/>
          <w:sz w:val="21"/>
          <w:szCs w:val="21"/>
        </w:rPr>
        <w:t xml:space="preserve">Two-stage least squares; the LATE and who the “compliers” are</w:t>
      </w:r>
    </w:p>
    <w:p>
      <w:pPr>
        <w:pStyle w:val="ListParagraph"/>
        <w:numPr>
          <w:ilvl w:val="0"/>
          <w:numId w:val="2"/>
        </w:numPr>
        <w:spacing w:after="60" w:line="268"/>
      </w:pPr>
      <w:r>
        <w:rPr>
          <w:rFonts w:ascii="Calibri" w:cs="Calibri" w:eastAsia="Calibri" w:hAnsi="Calibri"/>
          <w:color w:val="20304A"/>
          <w:sz w:val="21"/>
          <w:szCs w:val="21"/>
        </w:rPr>
        <w:t xml:space="preserve">Weak instruments and their diagnosis</w:t>
      </w:r>
    </w:p>
    <w:p>
      <w:pPr>
        <w:pStyle w:val="ListParagraph"/>
        <w:numPr>
          <w:ilvl w:val="0"/>
          <w:numId w:val="2"/>
        </w:numPr>
        <w:spacing w:after="60" w:line="268"/>
      </w:pPr>
      <w:r>
        <w:rPr>
          <w:rFonts w:ascii="Calibri" w:cs="Calibri" w:eastAsia="Calibri" w:hAnsi="Calibri"/>
          <w:color w:val="20304A"/>
          <w:sz w:val="21"/>
          <w:szCs w:val="21"/>
        </w:rPr>
        <w:t xml:space="preserve">Mendelian randomization: genotype as a natural instrument</w:t>
      </w:r>
    </w:p>
    <w:p>
      <w:pPr>
        <w:pStyle w:val="ListParagraph"/>
        <w:numPr>
          <w:ilvl w:val="0"/>
          <w:numId w:val="2"/>
        </w:numPr>
        <w:spacing w:after="60" w:line="268"/>
      </w:pPr>
      <w:r>
        <w:rPr>
          <w:rFonts w:ascii="Calibri" w:cs="Calibri" w:eastAsia="Calibri" w:hAnsi="Calibri"/>
          <w:color w:val="20304A"/>
          <w:sz w:val="21"/>
          <w:szCs w:val="21"/>
        </w:rPr>
        <w:t xml:space="preserve">Pleiotropy and the robustness checks MR requires</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Mostly Harmless, Ch. 4; The Mixtape (IV chapter); Davey Smith &amp; Ebrahim on MR.</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Quarter-of-birth &amp; returns to schooling; an MR study of LDL cholesterol → heart disease.</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Midterm exam (Weeks 1–7); Lab 5 — 2SLS + a Mendelian-randomization analysis.</w:t>
      </w:r>
    </w:p>
    <w:p>
      <w:pPr>
        <w:pStyle w:val="Heading2"/>
        <w:spacing w:after="100" w:before="240"/>
      </w:pPr>
      <w:r>
        <w:rPr>
          <w:rFonts w:ascii="Cambria" w:cs="Cambria" w:eastAsia="Cambria" w:hAnsi="Cambria"/>
          <w:b/>
          <w:bCs/>
          <w:color w:val="0B6A6E"/>
          <w:sz w:val="25"/>
          <w:szCs w:val="25"/>
        </w:rPr>
        <w:t xml:space="preserve">Week 9 — Regression discontinuity</w:t>
      </w:r>
    </w:p>
    <w:p>
      <w:pPr>
        <w:spacing w:after="100"/>
      </w:pPr>
      <w:r>
        <w:rPr>
          <w:rFonts w:ascii="Calibri" w:cs="Calibri" w:eastAsia="Calibri" w:hAnsi="Calibri"/>
          <w:i/>
          <w:iCs/>
          <w:color w:val="0B6A6E"/>
          <w:sz w:val="21"/>
          <w:szCs w:val="21"/>
        </w:rPr>
        <w:t xml:space="preserve">Just above vs. just below a cutoff is almost a coin flip — so the cutoff hands you a local experiment.</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Sharp vs. fuzzy designs</w:t>
      </w:r>
    </w:p>
    <w:p>
      <w:pPr>
        <w:pStyle w:val="ListParagraph"/>
        <w:numPr>
          <w:ilvl w:val="0"/>
          <w:numId w:val="2"/>
        </w:numPr>
        <w:spacing w:after="60" w:line="268"/>
      </w:pPr>
      <w:r>
        <w:rPr>
          <w:rFonts w:ascii="Calibri" w:cs="Calibri" w:eastAsia="Calibri" w:hAnsi="Calibri"/>
          <w:color w:val="20304A"/>
          <w:sz w:val="21"/>
          <w:szCs w:val="21"/>
        </w:rPr>
        <w:t xml:space="preserve">The continuity assumption and local randomization</w:t>
      </w:r>
    </w:p>
    <w:p>
      <w:pPr>
        <w:pStyle w:val="ListParagraph"/>
        <w:numPr>
          <w:ilvl w:val="0"/>
          <w:numId w:val="2"/>
        </w:numPr>
        <w:spacing w:after="60" w:line="268"/>
      </w:pPr>
      <w:r>
        <w:rPr>
          <w:rFonts w:ascii="Calibri" w:cs="Calibri" w:eastAsia="Calibri" w:hAnsi="Calibri"/>
          <w:color w:val="20304A"/>
          <w:sz w:val="21"/>
          <w:szCs w:val="21"/>
        </w:rPr>
        <w:t xml:space="preserve">Local-polynomial estimation and bandwidth selection</w:t>
      </w:r>
    </w:p>
    <w:p>
      <w:pPr>
        <w:pStyle w:val="ListParagraph"/>
        <w:numPr>
          <w:ilvl w:val="0"/>
          <w:numId w:val="2"/>
        </w:numPr>
        <w:spacing w:after="60" w:line="268"/>
      </w:pPr>
      <w:r>
        <w:rPr>
          <w:rFonts w:ascii="Calibri" w:cs="Calibri" w:eastAsia="Calibri" w:hAnsi="Calibri"/>
          <w:color w:val="20304A"/>
          <w:sz w:val="21"/>
          <w:szCs w:val="21"/>
        </w:rPr>
        <w:t xml:space="preserve">The McCrary density test for manipulation</w:t>
      </w:r>
    </w:p>
    <w:p>
      <w:pPr>
        <w:pStyle w:val="ListParagraph"/>
        <w:numPr>
          <w:ilvl w:val="0"/>
          <w:numId w:val="2"/>
        </w:numPr>
        <w:spacing w:after="60" w:line="268"/>
      </w:pPr>
      <w:r>
        <w:rPr>
          <w:rFonts w:ascii="Calibri" w:cs="Calibri" w:eastAsia="Calibri" w:hAnsi="Calibri"/>
          <w:color w:val="20304A"/>
          <w:sz w:val="21"/>
          <w:szCs w:val="21"/>
        </w:rPr>
        <w:t xml:space="preserve">Placebo cutoffs and donut-hole robustness checks</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Mostly Harmless, Ch. 6; The Effect (RD chapter); Cattaneo, Idrobo &amp; Titiunik, practical guide.</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A scholarship/test-score cutoff; a clinical treatment threshold on a biomarker.</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Lab 6 — rdrobust: estimate the effect, choose a bandwidth, run placebo tests.</w:t>
      </w:r>
    </w:p>
    <w:p>
      <w:pPr>
        <w:pStyle w:val="Heading2"/>
        <w:spacing w:after="100" w:before="240"/>
      </w:pPr>
      <w:r>
        <w:rPr>
          <w:rFonts w:ascii="Cambria" w:cs="Cambria" w:eastAsia="Cambria" w:hAnsi="Cambria"/>
          <w:b/>
          <w:bCs/>
          <w:color w:val="0B6A6E"/>
          <w:sz w:val="25"/>
          <w:szCs w:val="25"/>
        </w:rPr>
        <w:t xml:space="preserve">Week 10 — Difference-in-differences &amp; panel methods</w:t>
      </w:r>
    </w:p>
    <w:p>
      <w:pPr>
        <w:spacing w:after="100"/>
      </w:pPr>
      <w:r>
        <w:rPr>
          <w:rFonts w:ascii="Calibri" w:cs="Calibri" w:eastAsia="Calibri" w:hAnsi="Calibri"/>
          <w:i/>
          <w:iCs/>
          <w:color w:val="0B6A6E"/>
          <w:sz w:val="21"/>
          <w:szCs w:val="21"/>
        </w:rPr>
        <w:t xml:space="preserve">Let a comparison group subtract out everything that would have happened anyway.</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The 2×2 DiD estimator</w:t>
      </w:r>
    </w:p>
    <w:p>
      <w:pPr>
        <w:pStyle w:val="ListParagraph"/>
        <w:numPr>
          <w:ilvl w:val="0"/>
          <w:numId w:val="2"/>
        </w:numPr>
        <w:spacing w:after="60" w:line="268"/>
      </w:pPr>
      <w:r>
        <w:rPr>
          <w:rFonts w:ascii="Calibri" w:cs="Calibri" w:eastAsia="Calibri" w:hAnsi="Calibri"/>
          <w:color w:val="20304A"/>
          <w:sz w:val="21"/>
          <w:szCs w:val="21"/>
        </w:rPr>
        <w:t xml:space="preserve">Parallel trends; event-study plots as a diagnostic</w:t>
      </w:r>
    </w:p>
    <w:p>
      <w:pPr>
        <w:pStyle w:val="ListParagraph"/>
        <w:numPr>
          <w:ilvl w:val="0"/>
          <w:numId w:val="2"/>
        </w:numPr>
        <w:spacing w:after="60" w:line="268"/>
      </w:pPr>
      <w:r>
        <w:rPr>
          <w:rFonts w:ascii="Calibri" w:cs="Calibri" w:eastAsia="Calibri" w:hAnsi="Calibri"/>
          <w:color w:val="20304A"/>
          <w:sz w:val="21"/>
          <w:szCs w:val="21"/>
        </w:rPr>
        <w:t xml:space="preserve">Two-way fixed effects and its pitfalls</w:t>
      </w:r>
    </w:p>
    <w:p>
      <w:pPr>
        <w:pStyle w:val="ListParagraph"/>
        <w:numPr>
          <w:ilvl w:val="0"/>
          <w:numId w:val="2"/>
        </w:numPr>
        <w:spacing w:after="60" w:line="268"/>
      </w:pPr>
      <w:r>
        <w:rPr>
          <w:rFonts w:ascii="Calibri" w:cs="Calibri" w:eastAsia="Calibri" w:hAnsi="Calibri"/>
          <w:color w:val="20304A"/>
          <w:sz w:val="21"/>
          <w:szCs w:val="21"/>
        </w:rPr>
        <w:t xml:space="preserve">Staggered adoption and modern DiD estimators (Callaway–Sant'Anna and relatives)</w:t>
      </w:r>
    </w:p>
    <w:p>
      <w:pPr>
        <w:pStyle w:val="ListParagraph"/>
        <w:numPr>
          <w:ilvl w:val="0"/>
          <w:numId w:val="2"/>
        </w:numPr>
        <w:spacing w:after="60" w:line="268"/>
      </w:pPr>
      <w:r>
        <w:rPr>
          <w:rFonts w:ascii="Calibri" w:cs="Calibri" w:eastAsia="Calibri" w:hAnsi="Calibri"/>
          <w:color w:val="20304A"/>
          <w:sz w:val="21"/>
          <w:szCs w:val="21"/>
        </w:rPr>
        <w:t xml:space="preserve">Clustered standard errors and inference</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Mostly Harmless, Ch. 5; The Mixtape (DiD &amp; panel); Roth et al., DiD review.</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Minimum wage and employment (Card &amp; Krueger); a staggered policy roll-out.</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Problem Set 6 + Lab 7 — fixest / did: event study and a staggered-adoption DiD.</w:t>
      </w:r>
    </w:p>
    <w:p>
      <w:pPr>
        <w:pStyle w:val="Heading2"/>
        <w:spacing w:after="100" w:before="240"/>
      </w:pPr>
      <w:r>
        <w:rPr>
          <w:rFonts w:ascii="Cambria" w:cs="Cambria" w:eastAsia="Cambria" w:hAnsi="Cambria"/>
          <w:b/>
          <w:bCs/>
          <w:color w:val="0B6A6E"/>
          <w:sz w:val="25"/>
          <w:szCs w:val="25"/>
        </w:rPr>
        <w:t xml:space="preserve">Week 11 — Synthetic control</w:t>
      </w:r>
    </w:p>
    <w:p>
      <w:pPr>
        <w:spacing w:after="100"/>
      </w:pPr>
      <w:r>
        <w:rPr>
          <w:rFonts w:ascii="Calibri" w:cs="Calibri" w:eastAsia="Calibri" w:hAnsi="Calibri"/>
          <w:i/>
          <w:iCs/>
          <w:color w:val="0B6A6E"/>
          <w:sz w:val="21"/>
          <w:szCs w:val="21"/>
        </w:rPr>
        <w:t xml:space="preserve">Build a synthetic version of the treated unit from a weighted blend of untreated ones.</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The synthetic-control estimator</w:t>
      </w:r>
    </w:p>
    <w:p>
      <w:pPr>
        <w:pStyle w:val="ListParagraph"/>
        <w:numPr>
          <w:ilvl w:val="0"/>
          <w:numId w:val="2"/>
        </w:numPr>
        <w:spacing w:after="60" w:line="268"/>
      </w:pPr>
      <w:r>
        <w:rPr>
          <w:rFonts w:ascii="Calibri" w:cs="Calibri" w:eastAsia="Calibri" w:hAnsi="Calibri"/>
          <w:color w:val="20304A"/>
          <w:sz w:val="21"/>
          <w:szCs w:val="21"/>
        </w:rPr>
        <w:t xml:space="preserve">Donor pools and the weighting problem</w:t>
      </w:r>
    </w:p>
    <w:p>
      <w:pPr>
        <w:pStyle w:val="ListParagraph"/>
        <w:numPr>
          <w:ilvl w:val="0"/>
          <w:numId w:val="2"/>
        </w:numPr>
        <w:spacing w:after="60" w:line="268"/>
      </w:pPr>
      <w:r>
        <w:rPr>
          <w:rFonts w:ascii="Calibri" w:cs="Calibri" w:eastAsia="Calibri" w:hAnsi="Calibri"/>
          <w:color w:val="20304A"/>
          <w:sz w:val="21"/>
          <w:szCs w:val="21"/>
        </w:rPr>
        <w:t xml:space="preserve">Judging pre-treatment fit</w:t>
      </w:r>
    </w:p>
    <w:p>
      <w:pPr>
        <w:pStyle w:val="ListParagraph"/>
        <w:numPr>
          <w:ilvl w:val="0"/>
          <w:numId w:val="2"/>
        </w:numPr>
        <w:spacing w:after="60" w:line="268"/>
      </w:pPr>
      <w:r>
        <w:rPr>
          <w:rFonts w:ascii="Calibri" w:cs="Calibri" w:eastAsia="Calibri" w:hAnsi="Calibri"/>
          <w:color w:val="20304A"/>
          <w:sz w:val="21"/>
          <w:szCs w:val="21"/>
        </w:rPr>
        <w:t xml:space="preserve">Placebo / permutation inference</w:t>
      </w:r>
    </w:p>
    <w:p>
      <w:pPr>
        <w:pStyle w:val="ListParagraph"/>
        <w:numPr>
          <w:ilvl w:val="0"/>
          <w:numId w:val="2"/>
        </w:numPr>
        <w:spacing w:after="60" w:line="268"/>
      </w:pPr>
      <w:r>
        <w:rPr>
          <w:rFonts w:ascii="Calibri" w:cs="Calibri" w:eastAsia="Calibri" w:hAnsi="Calibri"/>
          <w:color w:val="20304A"/>
          <w:sz w:val="21"/>
          <w:szCs w:val="21"/>
        </w:rPr>
        <w:t xml:space="preserve">When synthetic control beats difference-in-differences</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Abadie (2021), JEL review; The Mixtape (synthetic control).</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California's Proposition 99 tobacco-control program; a regional intervention.</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Lab 8 — tidysynth: estimate the effect and run placebo inference.</w:t>
      </w:r>
    </w:p>
    <w:p>
      <w:pPr>
        <w:spacing w:after="60" w:before="220"/>
      </w:pPr>
      <w:r>
        <w:rPr>
          <w:rFonts w:ascii="Cambria" w:cs="Cambria" w:eastAsia="Cambria" w:hAnsi="Cambria"/>
          <w:b/>
          <w:bCs/>
          <w:color w:val="C8821F"/>
          <w:sz w:val="19"/>
          <w:szCs w:val="19"/>
        </w:rPr>
        <w:t xml:space="preserve">BLOCK IV — MODERN METHODS &amp; APPLICATION</w:t>
      </w:r>
    </w:p>
    <w:p>
      <w:pPr>
        <w:pStyle w:val="Heading2"/>
        <w:spacing w:after="100" w:before="240"/>
      </w:pPr>
      <w:r>
        <w:rPr>
          <w:rFonts w:ascii="Cambria" w:cs="Cambria" w:eastAsia="Cambria" w:hAnsi="Cambria"/>
          <w:b/>
          <w:bCs/>
          <w:color w:val="0B6A6E"/>
          <w:sz w:val="25"/>
          <w:szCs w:val="25"/>
        </w:rPr>
        <w:t xml:space="preserve">Week 12 — Double / debiased machine learning</w:t>
      </w:r>
    </w:p>
    <w:p>
      <w:pPr>
        <w:spacing w:after="100"/>
      </w:pPr>
      <w:r>
        <w:rPr>
          <w:rFonts w:ascii="Calibri" w:cs="Calibri" w:eastAsia="Calibri" w:hAnsi="Calibri"/>
          <w:i/>
          <w:iCs/>
          <w:color w:val="0B6A6E"/>
          <w:sz w:val="21"/>
          <w:szCs w:val="21"/>
        </w:rPr>
        <w:t xml:space="preserve">Use flexible ML for the nuisance parts without letting it bias the effect you care about.</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Neyman orthogonality and why it matters</w:t>
      </w:r>
    </w:p>
    <w:p>
      <w:pPr>
        <w:pStyle w:val="ListParagraph"/>
        <w:numPr>
          <w:ilvl w:val="0"/>
          <w:numId w:val="2"/>
        </w:numPr>
        <w:spacing w:after="60" w:line="268"/>
      </w:pPr>
      <w:r>
        <w:rPr>
          <w:rFonts w:ascii="Calibri" w:cs="Calibri" w:eastAsia="Calibri" w:hAnsi="Calibri"/>
          <w:color w:val="20304A"/>
          <w:sz w:val="21"/>
          <w:szCs w:val="21"/>
        </w:rPr>
        <w:t xml:space="preserve">Cross-fitting to remove overfitting bias</w:t>
      </w:r>
    </w:p>
    <w:p>
      <w:pPr>
        <w:pStyle w:val="ListParagraph"/>
        <w:numPr>
          <w:ilvl w:val="0"/>
          <w:numId w:val="2"/>
        </w:numPr>
        <w:spacing w:after="60" w:line="268"/>
      </w:pPr>
      <w:r>
        <w:rPr>
          <w:rFonts w:ascii="Calibri" w:cs="Calibri" w:eastAsia="Calibri" w:hAnsi="Calibri"/>
          <w:color w:val="20304A"/>
          <w:sz w:val="21"/>
          <w:szCs w:val="21"/>
        </w:rPr>
        <w:t xml:space="preserve">Partially linear and interactive models</w:t>
      </w:r>
    </w:p>
    <w:p>
      <w:pPr>
        <w:pStyle w:val="ListParagraph"/>
        <w:numPr>
          <w:ilvl w:val="0"/>
          <w:numId w:val="2"/>
        </w:numPr>
        <w:spacing w:after="60" w:line="268"/>
      </w:pPr>
      <w:r>
        <w:rPr>
          <w:rFonts w:ascii="Calibri" w:cs="Calibri" w:eastAsia="Calibri" w:hAnsi="Calibri"/>
          <w:color w:val="20304A"/>
          <w:sz w:val="21"/>
          <w:szCs w:val="21"/>
        </w:rPr>
        <w:t xml:space="preserve">DML for the ATE; combining DML with instruments</w:t>
      </w:r>
    </w:p>
    <w:p>
      <w:pPr>
        <w:pStyle w:val="ListParagraph"/>
        <w:numPr>
          <w:ilvl w:val="0"/>
          <w:numId w:val="2"/>
        </w:numPr>
        <w:spacing w:after="60" w:line="268"/>
      </w:pPr>
      <w:r>
        <w:rPr>
          <w:rFonts w:ascii="Calibri" w:cs="Calibri" w:eastAsia="Calibri" w:hAnsi="Calibri"/>
          <w:color w:val="20304A"/>
          <w:sz w:val="21"/>
          <w:szCs w:val="21"/>
        </w:rPr>
        <w:t xml:space="preserve">Pitfalls: regularization bias and leakage</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Chernozhukov et al. (2018), DML; DoubleML &amp; EconML user guides.</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High-dimensional confounding in a pricing problem; a genomics-scale covariate set.</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Lab 9 — DoubleML / EconML: estimate an ATE with cross-fitting.</w:t>
      </w:r>
    </w:p>
    <w:p>
      <w:pPr>
        <w:pStyle w:val="Heading2"/>
        <w:spacing w:after="100" w:before="240"/>
      </w:pPr>
      <w:r>
        <w:rPr>
          <w:rFonts w:ascii="Cambria" w:cs="Cambria" w:eastAsia="Cambria" w:hAnsi="Cambria"/>
          <w:b/>
          <w:bCs/>
          <w:color w:val="0B6A6E"/>
          <w:sz w:val="25"/>
          <w:szCs w:val="25"/>
        </w:rPr>
        <w:t xml:space="preserve">Week 13 — Heterogeneous effects &amp; policy learning</w:t>
      </w:r>
    </w:p>
    <w:p>
      <w:pPr>
        <w:spacing w:after="100"/>
      </w:pPr>
      <w:r>
        <w:rPr>
          <w:rFonts w:ascii="Calibri" w:cs="Calibri" w:eastAsia="Calibri" w:hAnsi="Calibri"/>
          <w:i/>
          <w:iCs/>
          <w:color w:val="0B6A6E"/>
          <w:sz w:val="21"/>
          <w:szCs w:val="21"/>
        </w:rPr>
        <w:t xml:space="preserve">Move from “does it work on average?” to “for whom — and what should we do about it?”</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Conditional average treatment effects (CATE)</w:t>
      </w:r>
    </w:p>
    <w:p>
      <w:pPr>
        <w:pStyle w:val="ListParagraph"/>
        <w:numPr>
          <w:ilvl w:val="0"/>
          <w:numId w:val="2"/>
        </w:numPr>
        <w:spacing w:after="60" w:line="268"/>
      </w:pPr>
      <w:r>
        <w:rPr>
          <w:rFonts w:ascii="Calibri" w:cs="Calibri" w:eastAsia="Calibri" w:hAnsi="Calibri"/>
          <w:color w:val="20304A"/>
          <w:sz w:val="21"/>
          <w:szCs w:val="21"/>
        </w:rPr>
        <w:t xml:space="preserve">Meta-learners: S-, T-, X-, and R-learners</w:t>
      </w:r>
    </w:p>
    <w:p>
      <w:pPr>
        <w:pStyle w:val="ListParagraph"/>
        <w:numPr>
          <w:ilvl w:val="0"/>
          <w:numId w:val="2"/>
        </w:numPr>
        <w:spacing w:after="60" w:line="268"/>
      </w:pPr>
      <w:r>
        <w:rPr>
          <w:rFonts w:ascii="Calibri" w:cs="Calibri" w:eastAsia="Calibri" w:hAnsi="Calibri"/>
          <w:color w:val="20304A"/>
          <w:sz w:val="21"/>
          <w:szCs w:val="21"/>
        </w:rPr>
        <w:t xml:space="preserve">Causal forests</w:t>
      </w:r>
    </w:p>
    <w:p>
      <w:pPr>
        <w:pStyle w:val="ListParagraph"/>
        <w:numPr>
          <w:ilvl w:val="0"/>
          <w:numId w:val="2"/>
        </w:numPr>
        <w:spacing w:after="60" w:line="268"/>
      </w:pPr>
      <w:r>
        <w:rPr>
          <w:rFonts w:ascii="Calibri" w:cs="Calibri" w:eastAsia="Calibri" w:hAnsi="Calibri"/>
          <w:color w:val="20304A"/>
          <w:sz w:val="21"/>
          <w:szCs w:val="21"/>
        </w:rPr>
        <w:t xml:space="preserve">Evaluating CATE models: calibration and uplift curves</w:t>
      </w:r>
    </w:p>
    <w:p>
      <w:pPr>
        <w:pStyle w:val="ListParagraph"/>
        <w:numPr>
          <w:ilvl w:val="0"/>
          <w:numId w:val="2"/>
        </w:numPr>
        <w:spacing w:after="60" w:line="268"/>
      </w:pPr>
      <w:r>
        <w:rPr>
          <w:rFonts w:ascii="Calibri" w:cs="Calibri" w:eastAsia="Calibri" w:hAnsi="Calibri"/>
          <w:color w:val="20304A"/>
          <w:sz w:val="21"/>
          <w:szCs w:val="21"/>
        </w:rPr>
        <w:t xml:space="preserve">Policy learning and optimal treatment rules</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Wager &amp; Athey (2018), causal forests; Künzel et al., meta-learners; Athey &amp; Wager, policy learning.</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Targeting an intervention: which patients or customers should be treated?</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Problem Set 7 + Lab 10 — grf / CausalML: estimate CATE and learn a policy.</w:t>
      </w:r>
    </w:p>
    <w:p>
      <w:pPr>
        <w:pStyle w:val="Heading2"/>
        <w:spacing w:after="100" w:before="240"/>
      </w:pPr>
      <w:r>
        <w:rPr>
          <w:rFonts w:ascii="Cambria" w:cs="Cambria" w:eastAsia="Cambria" w:hAnsi="Cambria"/>
          <w:b/>
          <w:bCs/>
          <w:color w:val="0B6A6E"/>
          <w:sz w:val="25"/>
          <w:szCs w:val="25"/>
        </w:rPr>
        <w:t xml:space="preserve">Week 14 — Advanced topics</w:t>
      </w:r>
    </w:p>
    <w:p>
      <w:pPr>
        <w:spacing w:after="100"/>
      </w:pPr>
      <w:r>
        <w:rPr>
          <w:rFonts w:ascii="Calibri" w:cs="Calibri" w:eastAsia="Calibri" w:hAnsi="Calibri"/>
          <w:i/>
          <w:iCs/>
          <w:color w:val="0B6A6E"/>
          <w:sz w:val="21"/>
          <w:szCs w:val="21"/>
        </w:rPr>
        <w:t xml:space="preserve">Mediation, sensitivity analysis, time-varying treatments, and discovering structure from data.</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Mediation: natural direct and indirect effects</w:t>
      </w:r>
    </w:p>
    <w:p>
      <w:pPr>
        <w:pStyle w:val="ListParagraph"/>
        <w:numPr>
          <w:ilvl w:val="0"/>
          <w:numId w:val="2"/>
        </w:numPr>
        <w:spacing w:after="60" w:line="268"/>
      </w:pPr>
      <w:r>
        <w:rPr>
          <w:rFonts w:ascii="Calibri" w:cs="Calibri" w:eastAsia="Calibri" w:hAnsi="Calibri"/>
          <w:color w:val="20304A"/>
          <w:sz w:val="21"/>
          <w:szCs w:val="21"/>
        </w:rPr>
        <w:t xml:space="preserve">Sensitivity analysis: E-values and Rosenbaum bounds</w:t>
      </w:r>
    </w:p>
    <w:p>
      <w:pPr>
        <w:pStyle w:val="ListParagraph"/>
        <w:numPr>
          <w:ilvl w:val="0"/>
          <w:numId w:val="2"/>
        </w:numPr>
        <w:spacing w:after="60" w:line="268"/>
      </w:pPr>
      <w:r>
        <w:rPr>
          <w:rFonts w:ascii="Calibri" w:cs="Calibri" w:eastAsia="Calibri" w:hAnsi="Calibri"/>
          <w:color w:val="20304A"/>
          <w:sz w:val="21"/>
          <w:szCs w:val="21"/>
        </w:rPr>
        <w:t xml:space="preserve">g-methods (g-formula, g-estimation) for time-varying confounding</w:t>
      </w:r>
    </w:p>
    <w:p>
      <w:pPr>
        <w:pStyle w:val="ListParagraph"/>
        <w:numPr>
          <w:ilvl w:val="0"/>
          <w:numId w:val="2"/>
        </w:numPr>
        <w:spacing w:after="60" w:line="268"/>
      </w:pPr>
      <w:r>
        <w:rPr>
          <w:rFonts w:ascii="Calibri" w:cs="Calibri" w:eastAsia="Calibri" w:hAnsi="Calibri"/>
          <w:color w:val="20304A"/>
          <w:sz w:val="21"/>
          <w:szCs w:val="21"/>
        </w:rPr>
        <w:t xml:space="preserve">Causal discovery: PC, GES, and NOTEARS</w:t>
      </w:r>
    </w:p>
    <w:p>
      <w:pPr>
        <w:pStyle w:val="ListParagraph"/>
        <w:numPr>
          <w:ilvl w:val="0"/>
          <w:numId w:val="2"/>
        </w:numPr>
        <w:spacing w:after="60" w:line="268"/>
      </w:pPr>
      <w:r>
        <w:rPr>
          <w:rFonts w:ascii="Calibri" w:cs="Calibri" w:eastAsia="Calibri" w:hAnsi="Calibri"/>
          <w:color w:val="20304A"/>
          <w:sz w:val="21"/>
          <w:szCs w:val="21"/>
        </w:rPr>
        <w:t xml:space="preserve">Transportability across populations</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VanderWeele on mediation &amp; E-values; Hernán &amp; Robins, Part III; A causal-discovery survey.</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A mediation analysis; a sensitivity analysis quantifying unmeasured confounding.</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Problem Set 8 — mediation + E-value; a short causal-discovery exercise.</w:t>
      </w:r>
    </w:p>
    <w:p>
      <w:pPr>
        <w:pStyle w:val="Heading2"/>
        <w:spacing w:after="100" w:before="240"/>
      </w:pPr>
      <w:r>
        <w:rPr>
          <w:rFonts w:ascii="Cambria" w:cs="Cambria" w:eastAsia="Cambria" w:hAnsi="Cambria"/>
          <w:b/>
          <w:bCs/>
          <w:color w:val="0B6A6E"/>
          <w:sz w:val="25"/>
          <w:szCs w:val="25"/>
        </w:rPr>
        <w:t xml:space="preserve">Week 15 — Capstone, reproducibility &amp; communication</w:t>
      </w:r>
    </w:p>
    <w:p>
      <w:pPr>
        <w:spacing w:after="100"/>
      </w:pPr>
      <w:r>
        <w:rPr>
          <w:rFonts w:ascii="Calibri" w:cs="Calibri" w:eastAsia="Calibri" w:hAnsi="Calibri"/>
          <w:i/>
          <w:iCs/>
          <w:color w:val="0B6A6E"/>
          <w:sz w:val="21"/>
          <w:szCs w:val="21"/>
        </w:rPr>
        <w:t xml:space="preserve">Put it together: a defensible, reproducible causal analysis you can explain to a decision-maker.</w:t>
      </w:r>
    </w:p>
    <w:p>
      <w:pPr>
        <w:spacing w:after="40"/>
      </w:pPr>
      <w:r>
        <w:rPr>
          <w:rFonts w:ascii="Cambria" w:cs="Cambria" w:eastAsia="Cambria" w:hAnsi="Cambria"/>
          <w:b/>
          <w:bCs/>
          <w:color w:val="15203A"/>
          <w:sz w:val="20"/>
          <w:szCs w:val="20"/>
        </w:rPr>
        <w:t xml:space="preserve">Topics</w:t>
      </w:r>
    </w:p>
    <w:p>
      <w:pPr>
        <w:pStyle w:val="ListParagraph"/>
        <w:numPr>
          <w:ilvl w:val="0"/>
          <w:numId w:val="2"/>
        </w:numPr>
        <w:spacing w:after="60" w:line="268"/>
      </w:pPr>
      <w:r>
        <w:rPr>
          <w:rFonts w:ascii="Calibri" w:cs="Calibri" w:eastAsia="Calibri" w:hAnsi="Calibri"/>
          <w:color w:val="20304A"/>
          <w:sz w:val="21"/>
          <w:szCs w:val="21"/>
        </w:rPr>
        <w:t xml:space="preserve">Choosing a design from the question and the data</w:t>
      </w:r>
    </w:p>
    <w:p>
      <w:pPr>
        <w:pStyle w:val="ListParagraph"/>
        <w:numPr>
          <w:ilvl w:val="0"/>
          <w:numId w:val="2"/>
        </w:numPr>
        <w:spacing w:after="60" w:line="268"/>
      </w:pPr>
      <w:r>
        <w:rPr>
          <w:rFonts w:ascii="Calibri" w:cs="Calibri" w:eastAsia="Calibri" w:hAnsi="Calibri"/>
          <w:color w:val="20304A"/>
          <w:sz w:val="21"/>
          <w:szCs w:val="21"/>
        </w:rPr>
        <w:t xml:space="preserve">Pre-analysis plans and the garden of forking paths</w:t>
      </w:r>
    </w:p>
    <w:p>
      <w:pPr>
        <w:pStyle w:val="ListParagraph"/>
        <w:numPr>
          <w:ilvl w:val="0"/>
          <w:numId w:val="2"/>
        </w:numPr>
        <w:spacing w:after="60" w:line="268"/>
      </w:pPr>
      <w:r>
        <w:rPr>
          <w:rFonts w:ascii="Calibri" w:cs="Calibri" w:eastAsia="Calibri" w:hAnsi="Calibri"/>
          <w:color w:val="20304A"/>
          <w:sz w:val="21"/>
          <w:szCs w:val="21"/>
        </w:rPr>
        <w:t xml:space="preserve">Robustness and multiverse analysis</w:t>
      </w:r>
    </w:p>
    <w:p>
      <w:pPr>
        <w:pStyle w:val="ListParagraph"/>
        <w:numPr>
          <w:ilvl w:val="0"/>
          <w:numId w:val="2"/>
        </w:numPr>
        <w:spacing w:after="60" w:line="268"/>
      </w:pPr>
      <w:r>
        <w:rPr>
          <w:rFonts w:ascii="Calibri" w:cs="Calibri" w:eastAsia="Calibri" w:hAnsi="Calibri"/>
          <w:color w:val="20304A"/>
          <w:sz w:val="21"/>
          <w:szCs w:val="21"/>
        </w:rPr>
        <w:t xml:space="preserve">Reproducible pipelines with Quarto and Git</w:t>
      </w:r>
    </w:p>
    <w:p>
      <w:pPr>
        <w:pStyle w:val="ListParagraph"/>
        <w:numPr>
          <w:ilvl w:val="0"/>
          <w:numId w:val="2"/>
        </w:numPr>
        <w:spacing w:after="60" w:line="268"/>
      </w:pPr>
      <w:r>
        <w:rPr>
          <w:rFonts w:ascii="Calibri" w:cs="Calibri" w:eastAsia="Calibri" w:hAnsi="Calibri"/>
          <w:color w:val="20304A"/>
          <w:sz w:val="21"/>
          <w:szCs w:val="21"/>
        </w:rPr>
        <w:t xml:space="preserve">Communicating effects and uncertainty; the ethics of causal claims</w:t>
      </w:r>
    </w:p>
    <w:p>
      <w:pPr>
        <w:pStyle w:val="ListParagraph"/>
        <w:numPr>
          <w:ilvl w:val="0"/>
          <w:numId w:val="2"/>
        </w:numPr>
        <w:spacing w:after="60" w:line="268"/>
      </w:pPr>
      <w:r>
        <w:rPr>
          <w:rFonts w:ascii="Calibri" w:cs="Calibri" w:eastAsia="Calibri" w:hAnsi="Calibri"/>
          <w:b/>
          <w:bCs/>
          <w:color w:val="15203A"/>
          <w:sz w:val="21"/>
          <w:szCs w:val="21"/>
        </w:rPr>
        <w:t xml:space="preserve">Readings:  </w:t>
      </w:r>
      <w:r>
        <w:rPr>
          <w:rFonts w:ascii="Calibri" w:cs="Calibri" w:eastAsia="Calibri" w:hAnsi="Calibri"/>
          <w:color w:val="20304A"/>
          <w:sz w:val="21"/>
          <w:szCs w:val="21"/>
        </w:rPr>
        <w:t xml:space="preserve">Gelman &amp; Loken, “The garden of forking paths”; Reproducibility guides (Quarto/Git).</w:t>
      </w:r>
    </w:p>
    <w:p>
      <w:pPr>
        <w:pStyle w:val="ListParagraph"/>
        <w:numPr>
          <w:ilvl w:val="0"/>
          <w:numId w:val="2"/>
        </w:numPr>
        <w:spacing w:after="60" w:line="268"/>
      </w:pPr>
      <w:r>
        <w:rPr>
          <w:rFonts w:ascii="Calibri" w:cs="Calibri" w:eastAsia="Calibri" w:hAnsi="Calibri"/>
          <w:b/>
          <w:bCs/>
          <w:color w:val="15203A"/>
          <w:sz w:val="21"/>
          <w:szCs w:val="21"/>
        </w:rPr>
        <w:t xml:space="preserve">Case / application:  </w:t>
      </w:r>
      <w:r>
        <w:rPr>
          <w:rFonts w:ascii="Calibri" w:cs="Calibri" w:eastAsia="Calibri" w:hAnsi="Calibri"/>
          <w:color w:val="20304A"/>
          <w:sz w:val="21"/>
          <w:szCs w:val="21"/>
        </w:rPr>
        <w:t xml:space="preserve">Capstone presentations and peer review.</w:t>
      </w:r>
    </w:p>
    <w:p>
      <w:pPr>
        <w:pStyle w:val="ListParagraph"/>
        <w:numPr>
          <w:ilvl w:val="0"/>
          <w:numId w:val="2"/>
        </w:numPr>
        <w:spacing w:after="60" w:line="268"/>
      </w:pPr>
      <w:r>
        <w:rPr>
          <w:rFonts w:ascii="Calibri" w:cs="Calibri" w:eastAsia="Calibri" w:hAnsi="Calibri"/>
          <w:b/>
          <w:bCs/>
          <w:color w:val="15203A"/>
          <w:sz w:val="21"/>
          <w:szCs w:val="21"/>
        </w:rPr>
        <w:t xml:space="preserve">Deliverable:  </w:t>
      </w:r>
      <w:r>
        <w:rPr>
          <w:rFonts w:ascii="Calibri" w:cs="Calibri" w:eastAsia="Calibri" w:hAnsi="Calibri"/>
          <w:color w:val="20304A"/>
          <w:sz w:val="21"/>
          <w:szCs w:val="21"/>
        </w:rPr>
        <w:t xml:space="preserve">Capstone report + presentation (final deliverable).</w:t>
      </w:r>
    </w:p>
    <w:p>
      <w:r>
        <w:br w:type="page"/>
      </w:r>
    </w:p>
    <w:p>
      <w:pPr>
        <w:pStyle w:val="Heading1"/>
        <w:pBdr>
          <w:bottom w:val="single" w:color="0E8388" w:sz="10" w:space="4"/>
        </w:pBdr>
        <w:spacing w:after="140" w:before="320"/>
      </w:pPr>
      <w:r>
        <w:rPr>
          <w:rFonts w:ascii="Cambria" w:cs="Cambria" w:eastAsia="Cambria" w:hAnsi="Cambria"/>
          <w:b/>
          <w:bCs/>
          <w:color w:val="15203A"/>
          <w:sz w:val="30"/>
          <w:szCs w:val="30"/>
        </w:rPr>
        <w:t xml:space="preserve">Course policies</w:t>
      </w:r>
    </w:p>
    <w:p>
      <w:pPr>
        <w:pStyle w:val="Heading2"/>
        <w:spacing w:after="100" w:before="240"/>
      </w:pPr>
      <w:r>
        <w:rPr>
          <w:rFonts w:ascii="Cambria" w:cs="Cambria" w:eastAsia="Cambria" w:hAnsi="Cambria"/>
          <w:b/>
          <w:bCs/>
          <w:color w:val="0B6A6E"/>
          <w:sz w:val="25"/>
          <w:szCs w:val="25"/>
        </w:rPr>
        <w:t xml:space="preserve">Academic integrity</w:t>
      </w:r>
    </w:p>
    <w:p>
      <w:pPr>
        <w:spacing w:after="120" w:line="276"/>
      </w:pPr>
      <w:r>
        <w:rPr>
          <w:rFonts w:ascii="Calibri" w:cs="Calibri" w:eastAsia="Calibri" w:hAnsi="Calibri"/>
          <w:color w:val="20304A"/>
          <w:sz w:val="21"/>
          <w:szCs w:val="21"/>
        </w:rPr>
        <w:t xml:space="preserve">You are encouraged to discuss problem sets and labs with classmates, but every submission must be written and coded by you. Cite any source, person, or tool that materially shaped your answer. Submitting another's work as your own, or fabricating results, is a violation of the program's academic-integrity policy and will be reported.</w:t>
      </w:r>
    </w:p>
    <w:p>
      <w:pPr>
        <w:pStyle w:val="Heading2"/>
        <w:spacing w:after="100" w:before="240"/>
      </w:pPr>
      <w:r>
        <w:rPr>
          <w:rFonts w:ascii="Cambria" w:cs="Cambria" w:eastAsia="Cambria" w:hAnsi="Cambria"/>
          <w:b/>
          <w:bCs/>
          <w:color w:val="0B6A6E"/>
          <w:sz w:val="25"/>
          <w:szCs w:val="25"/>
        </w:rPr>
        <w:t xml:space="preserve">Use of AI tools</w:t>
      </w:r>
    </w:p>
    <w:p>
      <w:pPr>
        <w:spacing w:after="120" w:line="276"/>
      </w:pPr>
      <w:r>
        <w:rPr>
          <w:rFonts w:ascii="Calibri" w:cs="Calibri" w:eastAsia="Calibri" w:hAnsi="Calibri"/>
          <w:color w:val="20304A"/>
          <w:sz w:val="21"/>
          <w:szCs w:val="21"/>
        </w:rPr>
        <w:t xml:space="preserve">Generative-AI assistants are permitted as study and coding aids, with three conditions. First, you must be able to explain and defend every line you submit — graded oral spot-checks may follow any submission. Second, disclose AI use in a short note (tool and how it helped) at the end of each assignment. Third, AI tools may not be used during the midterm or to generate capstone results without disclosure. The goal is to build judgment you carry without the tool, not to outsource it.</w:t>
      </w:r>
    </w:p>
    <w:p>
      <w:pPr>
        <w:pStyle w:val="Heading2"/>
        <w:spacing w:after="100" w:before="240"/>
      </w:pPr>
      <w:r>
        <w:rPr>
          <w:rFonts w:ascii="Cambria" w:cs="Cambria" w:eastAsia="Cambria" w:hAnsi="Cambria"/>
          <w:b/>
          <w:bCs/>
          <w:color w:val="0B6A6E"/>
          <w:sz w:val="25"/>
          <w:szCs w:val="25"/>
        </w:rPr>
        <w:t xml:space="preserve">Accessibility &amp; accommodations</w:t>
      </w:r>
    </w:p>
    <w:p>
      <w:pPr>
        <w:spacing w:after="120" w:line="276"/>
      </w:pPr>
      <w:r>
        <w:rPr>
          <w:rFonts w:ascii="Calibri" w:cs="Calibri" w:eastAsia="Calibri" w:hAnsi="Calibri"/>
          <w:color w:val="20304A"/>
          <w:sz w:val="21"/>
          <w:szCs w:val="21"/>
        </w:rPr>
        <w:t xml:space="preserve">The course is committed to full access. Students with disabilities should contact the campus accessibility office to arrange accommodations; bring the documentation to the instructor early in the term and accommodations will be implemented promptly and confidentially. If any course material or platform creates a barrier, tell the instructor — it will be fixed.</w:t>
      </w:r>
    </w:p>
    <w:p>
      <w:pPr>
        <w:pStyle w:val="Heading2"/>
        <w:spacing w:after="100" w:before="240"/>
      </w:pPr>
      <w:r>
        <w:rPr>
          <w:rFonts w:ascii="Cambria" w:cs="Cambria" w:eastAsia="Cambria" w:hAnsi="Cambria"/>
          <w:b/>
          <w:bCs/>
          <w:color w:val="0B6A6E"/>
          <w:sz w:val="25"/>
          <w:szCs w:val="25"/>
        </w:rPr>
        <w:t xml:space="preserve">Attendance &amp; participation</w:t>
      </w:r>
    </w:p>
    <w:p>
      <w:pPr>
        <w:spacing w:after="120" w:line="276"/>
      </w:pPr>
      <w:r>
        <w:rPr>
          <w:rFonts w:ascii="Calibri" w:cs="Calibri" w:eastAsia="Calibri" w:hAnsi="Calibri"/>
          <w:color w:val="20304A"/>
          <w:sz w:val="21"/>
          <w:szCs w:val="21"/>
        </w:rPr>
        <w:t xml:space="preserve">Labs are collaborative and difficult to reconstruct alone, so regular attendance matters. If you must miss a session, notify the instructor in advance; recordings or notes will be arranged where possible. Participation credit reflects engagement and peer review, not mere presence.</w:t>
      </w:r>
    </w:p>
    <w:p>
      <w:pPr>
        <w:pStyle w:val="Heading2"/>
        <w:spacing w:after="100" w:before="240"/>
      </w:pPr>
      <w:r>
        <w:rPr>
          <w:rFonts w:ascii="Cambria" w:cs="Cambria" w:eastAsia="Cambria" w:hAnsi="Cambria"/>
          <w:b/>
          <w:bCs/>
          <w:color w:val="0B6A6E"/>
          <w:sz w:val="25"/>
          <w:szCs w:val="25"/>
        </w:rPr>
        <w:t xml:space="preserve">Wellbeing</w:t>
      </w:r>
    </w:p>
    <w:p>
      <w:pPr>
        <w:spacing w:after="60" w:line="276"/>
      </w:pPr>
      <w:r>
        <w:rPr>
          <w:rFonts w:ascii="Calibri" w:cs="Calibri" w:eastAsia="Calibri" w:hAnsi="Calibri"/>
          <w:color w:val="20304A"/>
          <w:sz w:val="21"/>
          <w:szCs w:val="21"/>
        </w:rPr>
        <w:t xml:space="preserve">A graduate workload can be heavy. If you are struggling, reach out early — to the instructor, your advisor, or campus support services. Deadlines can flex for genuine need; your health comes first.</w:t>
      </w:r>
    </w:p>
    <w:p>
      <w:pPr>
        <w:spacing w:before="280"/>
        <w:jc w:val="center"/>
      </w:pPr>
      <w:r>
        <w:rPr>
          <w:rFonts w:ascii="Calibri" w:cs="Calibri" w:eastAsia="Calibri" w:hAnsi="Calibri"/>
          <w:i/>
          <w:iCs/>
          <w:color w:val="5B6B82"/>
          <w:sz w:val="18"/>
          <w:szCs w:val="18"/>
        </w:rPr>
        <w:t xml:space="preserve">This syllabus is a living document and may be adjusted to serve the class; changes will be announced and posted.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2"/>
        <w:sz w:val="16"/>
        <w:szCs w:val="16"/>
      </w:rPr>
      <w:t xml:space="preserve">Page </w:t>
    </w:r>
    <w:r>
      <w:rPr>
        <w:color w:val="5B6B82"/>
        <w:sz w:val="16"/>
        <w:szCs w:val="16"/>
      </w:rPr>
      <w:fldChar w:fldCharType="begin"/>
      <w:instrText xml:space="preserve">PAGE</w:instrText>
      <w:fldChar w:fldCharType="separate"/>
      <w:fldChar w:fldCharType="end"/>
    </w:r>
    <w:r>
      <w:rPr>
        <w:rFonts w:ascii="Calibri" w:cs="Calibri" w:eastAsia="Calibri" w:hAnsi="Calibri"/>
        <w:color w:val="5B6B82"/>
        <w:sz w:val="16"/>
        <w:szCs w:val="16"/>
      </w:rPr>
      <w:t xml:space="preserve"> of </w:t>
    </w:r>
    <w:r>
      <w:rPr>
        <w:color w:val="5B6B8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EC" w:sz="4" w:space="4"/>
      </w:pBdr>
      <w:tabs>
        <w:tab w:val="right" w:pos="9026"/>
      </w:tabs>
    </w:pPr>
    <w:r>
      <w:rPr>
        <w:rFonts w:ascii="Calibri" w:cs="Calibri" w:eastAsia="Calibri" w:hAnsi="Calibri"/>
        <w:b/>
        <w:bCs/>
        <w:color w:val="5B6B82"/>
        <w:sz w:val="16"/>
        <w:szCs w:val="16"/>
      </w:rPr>
      <w:t xml:space="preserve">Causal Inference in Practice</w:t>
    </w:r>
    <w:r>
      <w:rPr>
        <w:rFonts w:ascii="Calibri" w:cs="Calibri" w:eastAsia="Calibri" w:hAnsi="Calibri"/>
        <w:color w:val="5B6B82"/>
        <w:sz w:val="16"/>
        <w:szCs w:val="16"/>
      </w:rPr>
      <w:t xml:space="preserve">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838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30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15203A"/>
      <w:sz w:val="30"/>
      <w:szCs w:val="30"/>
    </w:rPr>
  </w:style>
  <w:style w:type="paragraph" w:styleId="Heading2">
    <w:name w:val="Heading 2"/>
    <w:basedOn w:val="Normal"/>
    <w:next w:val="Normal"/>
    <w:qFormat/>
    <w:pPr>
      <w:spacing w:after="100" w:before="240"/>
      <w:outlineLvl w:val="1"/>
    </w:pPr>
    <w:rPr>
      <w:rFonts w:ascii="Cambria" w:cs="Cambria" w:eastAsia="Cambria" w:hAnsi="Cambria"/>
      <w:b/>
      <w:bCs/>
      <w:color w:val="0B6A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qtia_n78xzbduoz-5apc" Type="http://schemas.openxmlformats.org/officeDocument/2006/relationships/hyperlink" Target="https://www.hsph.harvard.edu/miguel-hernan/causal-inference-book/" TargetMode="External"/><Relationship Id="rId2eg_p27duqzeseavsczoc" Type="http://schemas.openxmlformats.org/officeDocument/2006/relationships/hyperlink" Target="https://mixtape.scunning.com/" TargetMode="External"/><Relationship Id="rIdxyrp8sqtndnpxgac2j9ht" Type="http://schemas.openxmlformats.org/officeDocument/2006/relationships/hyperlink" Target="https://theeffectbook.net/" TargetMode="External"/><Relationship Id="rIdqwpy3hopohfi1zakkvnvi" Type="http://schemas.openxmlformats.org/officeDocument/2006/relationships/hyperlink" Target="https://bayes.cs.ucla.edu/PRIMER/"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Inference in Practice — Syllabus</dc:title>
  <dc:creator>Course Design</dc:creator>
  <cp:lastModifiedBy>Un-named</cp:lastModifiedBy>
  <cp:revision>1</cp:revision>
  <dcterms:created xsi:type="dcterms:W3CDTF">2026-06-20T11:18:48.784Z</dcterms:created>
  <dcterms:modified xsi:type="dcterms:W3CDTF">2026-06-20T11:18:48.784Z</dcterms:modified>
</cp:coreProperties>
</file>

<file path=docProps/custom.xml><?xml version="1.0" encoding="utf-8"?>
<Properties xmlns="http://schemas.openxmlformats.org/officeDocument/2006/custom-properties" xmlns:vt="http://schemas.openxmlformats.org/officeDocument/2006/docPropsVTypes"/>
</file>