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19: Coal-Mining Disasters (Poisson changepoint)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4 (Advanced) · </w:t>
      </w:r>
      <w:r>
        <w:rPr>
          <w:b/>
        </w:rPr>
        <w:t>Model family:</w:t>
      </w:r>
      <w:r>
        <w:t xml:space="preserve"> Poisson changepoint with a </w:t>
      </w:r>
      <w:r>
        <w:rPr>
          <w:b/>
        </w:rPr>
        <w:t>discrete switchpoint</w:t>
      </w:r>
      <w:r>
        <w:t xml:space="preserve"> (+ marginalized NUTS twin)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 models*</w:t>
      </w:r>
    </w:p>
    <w:p>
      <w:pPr/>
      <w:r>
        <w:rPr>
          <w:i/>
        </w:rPr>
      </w:r>
      <w:r>
        <w:rPr>
          <w:i/>
        </w:rPr>
        <w:t xml:space="preserve">(Gelman et al. 2020). P19 is the project where </w:t>
      </w:r>
      <w:r>
        <w:rPr>
          <w:b/>
          <w:i/>
        </w:rPr>
        <w:t>diagnostics become model-aware</w:t>
      </w:r>
      <w:r>
        <w:rPr>
          <w:i/>
        </w:rPr>
        <w:t>: a discrete latent</w:t>
      </w:r>
    </w:p>
    <w:p>
      <w:pPr/>
      <w:r>
        <w:rPr>
          <w:i/>
        </w:rPr>
      </w:r>
      <w:r>
        <w:rPr>
          <w:i/>
        </w:rPr>
        <w:t xml:space="preserve">variable forces compound sampling, so the "0 divergences" NUTS rule does </w:t>
      </w:r>
      <w:r>
        <w:rPr>
          <w:b/>
          <w:i/>
        </w:rPr>
        <w:t>not</w:t>
      </w:r>
      <w:r>
        <w:rPr>
          <w:i/>
        </w:rPr>
        <w:t xml:space="preserve"> apply (§6, §9, §7.8).</w:t>
      </w:r>
    </w:p>
    <w:p>
      <w:pPr>
        <w:pStyle w:val="Heading2"/>
      </w:pPr>
      <w:r>
        <w:t>Master references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 · Vehtari, Gelman, Gabry (2017). *LOO-CV/WAIC.* Stat. Comput. 27.</w:t>
      </w:r>
    </w:p>
    <w:p>
      <w:pPr>
        <w:pStyle w:val="ListBullet"/>
      </w:pPr>
      <w:r>
        <w:t>Talts et al. (2018). *SBC.* arXiv:1804.06788; Säilynoja et al. (2022).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a series with a known switch at 1900, early rate 3.2, late rate 0.9; fit the discrete model.</w:t>
      </w:r>
    </w:p>
    <w:p>
      <w:pPr>
        <w:pStyle w:val="ListBullet"/>
      </w:pPr>
      <w:r>
        <w:rPr>
          <w:b/>
        </w:rPr>
        <w:t>Observed:</w:t>
      </w:r>
      <w:r>
        <w:t xml:space="preserve"> switchpoint posterior median </w:t>
      </w:r>
      <w:r>
        <w:rPr>
          <w:b/>
        </w:rPr>
        <w:t>1902</w:t>
      </w:r>
      <w:r>
        <w:t xml:space="preserve"> (truth 1900); early </w:t>
      </w:r>
      <w:r>
        <w:rPr>
          <w:b/>
        </w:rPr>
        <w:t>3.12</w:t>
      </w:r>
      <w:r>
        <w:t xml:space="preserve">, late </w:t>
      </w:r>
      <w:r>
        <w:rPr>
          <w:b/>
        </w:rPr>
        <w:t>0.86</w:t>
      </w:r>
      <w:r>
        <w:t xml:space="preserve"> → recovery passes.</w:t>
      </w:r>
    </w:p>
    <w:p>
      <w:pPr>
        <w:pStyle w:val="ListBullet"/>
      </w:pPr>
      <w:r>
        <w:rPr>
          <w:b/>
        </w:rPr>
        <w:t>Pass criterion:</w:t>
      </w:r>
      <w:r>
        <w:t xml:space="preserve"> switchpoint within a few years of truth; rates recovered. </w:t>
      </w:r>
      <w:r>
        <w:rPr>
          <w:b/>
        </w:rPr>
        <w:t>Remedy:</w:t>
      </w:r>
      <w:r>
        <w:t xml:space="preserve"> widen rate priors / more draws.</w:t>
      </w:r>
    </w:p>
    <w:p>
      <w:pPr>
        <w:pStyle w:val="Heading2"/>
      </w:pPr>
      <w:r>
        <w:t>Stage 1–2 — Question &amp; data</w:t>
      </w:r>
    </w:p>
    <w:p>
      <w:r>
        <w:t xml:space="preserve">When did the annual rate of British coal-mining disasters drop, and by how much? Data: </w:t>
      </w:r>
      <w:r>
        <w:rPr>
          <w:b/>
        </w:rPr>
        <w:t>hardcoded</w:t>
      </w:r>
      <w:r>
        <w:t xml:space="preserve"> Jarrett (1979)</w:t>
      </w:r>
    </w:p>
    <w:p>
      <w:r>
        <w:t>series, 1851–1961 (n = 111, 191 total disasters). Tiny and canonical, so hardcoded (§7.4) with a cache copy written.</w:t>
      </w:r>
    </w:p>
    <w:p>
      <w:pPr>
        <w:pStyle w:val="Heading2"/>
      </w:pPr>
      <w:r>
        <w:t>Stage 3 — Model A: discrete switchpoint (compound sampling)</w:t>
      </w:r>
    </w:p>
    <w:p>
      <w:r>
        <w:t>$$s\sim\mathrm{DiscreteUniform}(0,n{-}1),\ e,\ell\sim\mathrm{Exponential}(1),\ \text{rate}_i = e\ \text{if}\ i&lt;s\ \text{else}\ \ell,\ y_i\sim\mathrm{Poisson}(\text{rate}_i).$$</w:t>
      </w:r>
    </w:p>
    <w:p>
      <w:r>
        <w:t xml:space="preserve">Because </w:t>
      </w:r>
      <w:r>
        <w:rPr>
          <w:rFonts w:ascii="Consolas" w:hAnsi="Consolas"/>
          <w:sz w:val="20"/>
        </w:rPr>
        <w:t>s</w:t>
      </w:r>
      <w:r>
        <w:t xml:space="preserve"> is </w:t>
      </w:r>
      <w:r>
        <w:rPr>
          <w:b/>
        </w:rPr>
        <w:t>discrete</w:t>
      </w:r>
      <w:r>
        <w:t xml:space="preserve">, PyMC cannot use NUTS for it; it assigns a </w:t>
      </w:r>
      <w:r>
        <w:rPr>
          <w:b/>
        </w:rPr>
        <w:t>CompoundStep</w:t>
      </w:r>
      <w:r>
        <w:t xml:space="preserve"> (Metropolis on </w:t>
      </w:r>
      <w:r>
        <w:rPr>
          <w:rFonts w:ascii="Consolas" w:hAnsi="Consolas"/>
          <w:sz w:val="20"/>
        </w:rPr>
        <w:t>s</w:t>
      </w:r>
      <w:r>
        <w:t xml:space="preserve">, NUTS on </w:t>
      </w:r>
      <w:r>
        <w:rPr>
          <w:rFonts w:ascii="Consolas" w:hAnsi="Consolas"/>
          <w:sz w:val="20"/>
        </w:rPr>
        <w:t>e</w:t>
      </w:r>
      <w:r>
        <w:t xml:space="preserve">, </w:t>
      </w:r>
      <w:r>
        <w:rPr>
          <w:rFonts w:ascii="Consolas" w:hAnsi="Consolas"/>
          <w:sz w:val="20"/>
        </w:rPr>
        <w:t>ℓ</w:t>
      </w:r>
      <w:r>
        <w:t>).</w:t>
      </w:r>
    </w:p>
    <w:p>
      <w:pPr>
        <w:pStyle w:val="Heading2"/>
      </w:pPr>
      <w:r>
        <w:t>Stage 4 — Prior predictive (outcome = counts)</w:t>
      </w:r>
    </w:p>
    <w:p>
      <w:pPr>
        <w:pStyle w:val="ListBullet"/>
      </w:pPr>
      <w:r>
        <w:rPr>
          <w:b/>
        </w:rPr>
        <w:t>Observed:</w:t>
      </w:r>
      <w:r>
        <w:t xml:space="preserve"> simulated annual counts sit in a plausible 0–~10 band with a sensible zero fraction; no absurdities.</w:t>
      </w:r>
    </w:p>
    <w:p>
      <w:pPr>
        <w:pStyle w:val="Heading2"/>
      </w:pPr>
      <w:r>
        <w:t>Stage 5 — Fit (compound step)</w:t>
      </w:r>
    </w:p>
    <w:p>
      <w:r>
        <w:rPr>
          <w:rFonts w:ascii="Consolas" w:hAnsi="Consolas"/>
          <w:sz w:val="20"/>
        </w:rPr>
        <w:t>pm.sample(3000, tune=2000, chains=4)</w:t>
      </w:r>
      <w:r>
        <w:t xml:space="preserve">. </w:t>
      </w:r>
      <w:r>
        <w:rPr>
          <w:b/>
        </w:rPr>
        <w:t>The sampler PyMC selects is a CompoundStep</w:t>
      </w:r>
      <w:r>
        <w:t xml:space="preserve"> (printed/confirmed in stderr).</w:t>
      </w:r>
    </w:p>
    <w:p>
      <w:pPr>
        <w:pStyle w:val="Heading2"/>
      </w:pPr>
      <w:r>
        <w:t>Stage 6 — Diagnostics (MODEL-AWARE)</w:t>
      </w:r>
    </w:p>
    <w:p>
      <w:pPr>
        <w:pStyle w:val="ListBullet"/>
      </w:pPr>
      <w:r>
        <w:rPr>
          <w:b/>
        </w:rPr>
        <w:t>The divergence-count criterion is WAIVED</w:t>
      </w:r>
      <w:r>
        <w:t xml:space="preserve"> for the compound/discrete-latent model (documented in the cell).</w:t>
      </w:r>
    </w:p>
    <w:p>
      <w:pPr>
        <w:pStyle w:val="ListBullet"/>
      </w:pPr>
      <w:r>
        <w:rPr>
          <w:b/>
        </w:rPr>
        <w:t>What we check instead:</w:t>
      </w:r>
      <w:r>
        <w:t xml:space="preserve"> per-block R̂/ESS and that the </w:t>
      </w:r>
      <w:r>
        <w:rPr>
          <w:b/>
        </w:rPr>
        <w:t>switchpoint mixes</w:t>
      </w:r>
      <w:r>
        <w:t>. Observed: e R̂ = 1.00 (ESS ≈ 7600),</w:t>
      </w:r>
    </w:p>
    <w:p>
      <w:r>
        <w:t xml:space="preserve">  ℓ R̂ = 1.00 (ESS ≈ 9200), </w:t>
      </w:r>
      <w:r>
        <w:rPr>
          <w:b/>
        </w:rPr>
        <w:t>s R̂ = 1.00 (ESS ≈ 1740)</w:t>
      </w:r>
      <w:r>
        <w:t xml:space="preserve"> — the discrete variable is exploring, not stuck.</w:t>
      </w:r>
    </w:p>
    <w:p>
      <w:pPr>
        <w:pStyle w:val="ListBullet"/>
      </w:pPr>
      <w:r>
        <w:rPr>
          <w:b/>
        </w:rPr>
        <w:t>Switchpoint posterior:</w:t>
      </w:r>
      <w:r>
        <w:t xml:space="preserve"> median year </w:t>
      </w:r>
      <w:r>
        <w:rPr>
          <w:b/>
        </w:rPr>
        <w:t>1891</w:t>
      </w:r>
      <w:r>
        <w:t xml:space="preserve">, 94% HDI </w:t>
      </w:r>
      <w:r>
        <w:rPr>
          <w:b/>
        </w:rPr>
        <w:t>[1887, 1897]</w:t>
      </w:r>
      <w:r>
        <w:t>.</w:t>
      </w:r>
    </w:p>
    <w:p>
      <w:pPr>
        <w:pStyle w:val="Heading2"/>
      </w:pPr>
      <w:r>
        <w:t>Stage 7 — Interpretation</w:t>
      </w:r>
    </w:p>
    <w:p>
      <w:r>
        <w:rPr>
          <w:b/>
        </w:rPr>
        <w:t>Before ~1891: ≈ 3.06 disasters/year. After: ≈ 0.94/year — a 69% drop</w:t>
      </w:r>
      <w:r>
        <w:t xml:space="preserve"> (plausibly tied to the 1880s–90s mining</w:t>
      </w:r>
    </w:p>
    <w:p>
      <w:r>
        <w:t>safety legislation and unionization).</w:t>
      </w:r>
    </w:p>
    <w:p>
      <w:pPr>
        <w:pStyle w:val="Heading2"/>
      </w:pPr>
      <w:r>
        <w:t>Stage 8 — Posterior predictive check (count discrepancy stats)</w:t>
      </w:r>
    </w:p>
    <w:p>
      <w:pPr>
        <w:pStyle w:val="ListBullet"/>
      </w:pPr>
      <w:r>
        <w:t xml:space="preserve">proportion of zero-years: obs 0.29, </w:t>
      </w:r>
      <w:r>
        <w:rPr>
          <w:b/>
        </w:rPr>
        <w:t>bayes-p = 0.38</w:t>
      </w:r>
      <w:r>
        <w:t>; max annual count: obs 6, bayes-p = 0.97; total: obs 191,</w:t>
      </w:r>
    </w:p>
    <w:p>
      <w:r>
        <w:t xml:space="preserve">  bayes-p = 0.46. The two-rate model reproduces the count distribution well.</w:t>
      </w:r>
    </w:p>
    <w:p>
      <w:pPr>
        <w:pStyle w:val="Heading2"/>
      </w:pPr>
      <w:r>
        <w:t>Stage 9 — Comparison: changepoint vs constant-rate Poisson (LOO)</w:t>
      </w:r>
    </w:p>
    <w:p>
      <w:pPr>
        <w:pStyle w:val="ListBullet"/>
      </w:pPr>
      <w:r>
        <w:rPr>
          <w:b/>
        </w:rPr>
        <w:t>Observed:</w:t>
      </w:r>
      <w:r>
        <w:t xml:space="preserve"> the changepoint beats a single constant rate by </w:t>
      </w:r>
      <w:r>
        <w:rPr>
          <w:b/>
        </w:rPr>
        <w:t>elpd_diff = 32.0 with dse = 8.0 → 4.0 SE</w:t>
      </w:r>
      <w:r>
        <w:t>, stacking</w:t>
      </w:r>
    </w:p>
    <w:p>
      <w:r>
        <w:t xml:space="preserve">  weight 0.97. The rate change is strongly supported.</w:t>
      </w:r>
    </w:p>
    <w:p>
      <w:pPr>
        <w:pStyle w:val="Heading2"/>
      </w:pPr>
      <w:r>
        <w:t>Model B: marginalized switchpoint (restores full NUTS)</w:t>
      </w:r>
    </w:p>
    <w:p>
      <w:r>
        <w:t xml:space="preserve">Summing the likelihood over all switch positions analytically (a </w:t>
      </w:r>
      <w:r>
        <w:rPr>
          <w:rFonts w:ascii="Consolas" w:hAnsi="Consolas"/>
          <w:sz w:val="20"/>
        </w:rPr>
        <w:t>pm.Potential</w:t>
      </w:r>
      <w:r>
        <w:t xml:space="preserve"> with a </w:t>
      </w:r>
      <w:r>
        <w:rPr>
          <w:rFonts w:ascii="Consolas" w:hAnsi="Consolas"/>
          <w:sz w:val="20"/>
        </w:rPr>
        <w:t>logsumexp</w:t>
      </w:r>
      <w:r>
        <w:t xml:space="preserve"> over cumulative</w:t>
      </w:r>
    </w:p>
    <w:p>
      <w:r>
        <w:t xml:space="preserve">Poisson log-likelihoods) removes the discrete variable. </w:t>
      </w:r>
      <w:r>
        <w:rPr>
          <w:b/>
        </w:rPr>
        <w:t>Result: 0 divergences with pure NUTS</w:t>
      </w:r>
      <w:r>
        <w:t>, and the rate</w:t>
      </w:r>
    </w:p>
    <w:p>
      <w:r>
        <w:t>estimates (e ≈ 3.06, ℓ ≈ 0.94) match Model A. *Now* the 0-divergence criterion legitimately applies.</w:t>
      </w:r>
    </w:p>
    <w:p>
      <w:pPr>
        <w:pStyle w:val="Heading2"/>
      </w:pPr>
      <w:r>
        <w:t>SBC — Simulation-Based Calibration (Tier 4), marginalized model</w:t>
      </w:r>
    </w:p>
    <w:p>
      <w:pPr>
        <w:pStyle w:val="ListBullet"/>
      </w:pPr>
      <w:r>
        <w:rPr>
          <w:b/>
        </w:rPr>
        <w:t>Observed:</w:t>
      </w:r>
      <w:r>
        <w:t xml:space="preserve"> 100 sims, rank histogram for the early rate consistent with uniform, </w:t>
      </w:r>
      <w:r>
        <w:rPr>
          <w:b/>
        </w:rPr>
        <w:t>chi-square p = 0.74</w:t>
      </w:r>
      <w:r>
        <w:t xml:space="preserve"> → calibrated.</w:t>
      </w:r>
    </w:p>
    <w:p>
      <w:pPr>
        <w:pStyle w:val="Heading2"/>
      </w:pPr>
      <w:r>
        <w:t>Stage 10 — Power-scaling prior sensitivity (rates)</w:t>
      </w:r>
    </w:p>
    <w:p>
      <w:pPr>
        <w:pStyle w:val="ListBullet"/>
      </w:pPr>
      <w:r>
        <w:rPr>
          <w:b/>
        </w:rPr>
        <w:t>Observed:</w:t>
      </w:r>
      <w:r>
        <w:t xml:space="preserve"> E[early] = 3.079 / 3.063 / 3.042 and E[late] ≈ 0.936 across α ∈ {0.8,1,1.25} — flat; data-driven.</w:t>
      </w:r>
    </w:p>
    <w:p>
      <w:pPr>
        <w:pStyle w:val="Heading2"/>
      </w:pPr>
      <w:r>
        <w:t>Stage 11 — Model expansion / iteration</w:t>
      </w:r>
    </w:p>
    <w:p>
      <w:r>
        <w:t xml:space="preserve">Allow a </w:t>
      </w:r>
      <w:r>
        <w:rPr>
          <w:b/>
        </w:rPr>
        <w:t>gradual</w:t>
      </w:r>
      <w:r>
        <w:t xml:space="preserve"> logistic transition instead of a hard step, or </w:t>
      </w:r>
      <w:r>
        <w:rPr>
          <w:b/>
        </w:rPr>
        <w:t>multiple</w:t>
      </w:r>
      <w:r>
        <w:t xml:space="preserve"> changepoints / a hidden-Markov rate</w:t>
      </w:r>
    </w:p>
    <w:p>
      <w:r>
        <w:t>(state-space). The marginalization machinery generalizes directly.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*British coal-mining disasters fell abruptly around 1891, from ~3 per year to ~1 per year; the</w:t>
      </w:r>
    </w:p>
    <w:p>
      <w:r>
        <w:t>discrete-switchpoint model — judged by R̂/ESS and switchpoint mixing rather than divergence count — and its</w:t>
      </w:r>
    </w:p>
    <w:p>
      <w:r>
        <w:t>full-NUTS marginalized twin agree, and SBC confirms calibration.* Limitation: a single hard switch is a simplification</w:t>
      </w:r>
    </w:p>
    <w:p>
      <w:r>
        <w:t>of a likely gradual safety improvement.</w:t>
      </w:r>
    </w:p>
    <w:p>
      <w:r>
        <w:t>*Model-aware acceptance (§9): for the compound-step model the divergence criterion is waived and documented; the</w:t>
      </w:r>
    </w:p>
    <w:p>
      <w:r>
        <w:t>marginalized model restores and passes the 0-divergence NUTS criterion. SBC present (Tier 4).*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