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i w:val="0"/>
          <w:color w:val="2F6DB5"/>
          <w:sz w:val="22"/>
        </w:rPr>
        <w:t>Causal Inference in Practice  ·  Self-study packet</w:t>
      </w:r>
    </w:p>
    <w:p>
      <w:pPr>
        <w:spacing w:before="40" w:after="40"/>
      </w:pPr>
      <w:r>
        <w:rPr>
          <w:rFonts w:ascii="Calibri" w:hAnsi="Calibri"/>
          <w:b/>
          <w:i w:val="0"/>
          <w:color w:val="1F2A44"/>
          <w:sz w:val="48"/>
        </w:rPr>
        <w:t>Week 8 — Midterm Exam</w:t>
      </w:r>
    </w:p>
    <w:p>
      <w:pPr>
        <w:spacing w:before="0" w:after="0"/>
        <w:pBdr>
          <w:bottom w:val="single" w:sz="24" w:space="8" w:color="E9A23B"/>
        </w:pBdr>
      </w:pPr>
    </w:p>
    <w:p>
      <w:pPr>
        <w:spacing w:after="120"/>
      </w:pPr>
      <w:r>
        <w:rPr>
          <w:rFonts w:ascii="Calibri" w:hAnsi="Calibri"/>
          <w:b/>
          <w:i w:val="0"/>
          <w:color w:val="1F2A44"/>
          <w:sz w:val="22"/>
        </w:rPr>
        <w:t>Weeks 1–7 — Foundations &amp; Adjustment for Confounding</w:t>
      </w:r>
    </w:p>
    <w:p>
      <w:pPr>
        <w:spacing w:after="120"/>
      </w:pPr>
      <w:r>
        <w:rPr>
          <w:rFonts w:ascii="Calibri" w:hAnsi="Calibri"/>
          <w:b w:val="0"/>
          <w:i w:val="0"/>
          <w:color w:val="222732"/>
          <w:sz w:val="22"/>
        </w:rPr>
        <w:t xml:space="preserve">Graduate course: </w:t>
      </w:r>
      <w:r>
        <w:rPr>
          <w:rFonts w:ascii="Calibri" w:hAnsi="Calibri"/>
          <w:b w:val="0"/>
          <w:i/>
          <w:color w:val="222732"/>
          <w:sz w:val="22"/>
        </w:rPr>
        <w:t>Causal Inference in Practice</w:t>
      </w:r>
      <w:r>
        <w:rPr>
          <w:rFonts w:ascii="Calibri" w:hAnsi="Calibri"/>
          <w:b w:val="0"/>
          <w:i w:val="0"/>
          <w:color w:val="222732"/>
          <w:sz w:val="22"/>
        </w:rPr>
        <w:t>.   Covers Weeks 1–7.   90 minutes.   100 points = 20% of grade.</w:t>
      </w:r>
    </w:p>
    <w:p>
      <w:pPr>
        <w:spacing w:before="320" w:after="80"/>
        <w:pBdr>
          <w:left w:val="single" w:sz="18" w:space="8" w:color="2F6DB5"/>
        </w:pBdr>
        <w:ind w:left="115"/>
      </w:pPr>
      <w:r>
        <w:rPr>
          <w:rFonts w:ascii="Calibri" w:hAnsi="Calibri"/>
          <w:b/>
          <w:i w:val="0"/>
          <w:color w:val="1F2A44"/>
          <w:sz w:val="32"/>
        </w:rPr>
        <w:t>Instructions</w:t>
      </w:r>
    </w:p>
    <w:p>
      <w:pPr>
        <w:pStyle w:val="ListBullet"/>
        <w:spacing w:after="60"/>
      </w:pPr>
      <w:r>
        <w:rPr>
          <w:rFonts w:ascii="Calibri" w:hAnsi="Calibri"/>
          <w:b/>
          <w:i w:val="0"/>
          <w:color w:val="222732"/>
          <w:sz w:val="22"/>
        </w:rPr>
        <w:t xml:space="preserve">Time: </w:t>
      </w:r>
      <w:r>
        <w:rPr>
          <w:rFonts w:ascii="Calibri" w:hAnsi="Calibri"/>
          <w:b w:val="0"/>
          <w:i w:val="0"/>
          <w:color w:val="222732"/>
          <w:sz w:val="22"/>
        </w:rPr>
        <w:t xml:space="preserve">90 minutes. </w:t>
      </w:r>
      <w:r>
        <w:rPr>
          <w:rFonts w:ascii="Calibri" w:hAnsi="Calibri"/>
          <w:b/>
          <w:i w:val="0"/>
          <w:color w:val="222732"/>
          <w:sz w:val="22"/>
        </w:rPr>
        <w:t xml:space="preserve">Total: </w:t>
      </w:r>
      <w:r>
        <w:rPr>
          <w:rFonts w:ascii="Calibri" w:hAnsi="Calibri"/>
          <w:b w:val="0"/>
          <w:i w:val="0"/>
          <w:color w:val="222732"/>
          <w:sz w:val="22"/>
        </w:rPr>
        <w:t>100 points (worth 20% of the course grade). Point values are shown beside each question; budget roughly one minute per point.</w:t>
      </w:r>
    </w:p>
    <w:p>
      <w:pPr>
        <w:pStyle w:val="ListBullet"/>
        <w:spacing w:after="60"/>
      </w:pPr>
      <w:r>
        <w:rPr>
          <w:rFonts w:ascii="Calibri" w:hAnsi="Calibri"/>
          <w:b/>
          <w:i w:val="0"/>
          <w:color w:val="222732"/>
          <w:sz w:val="22"/>
        </w:rPr>
        <w:t xml:space="preserve">Closed book, </w:t>
      </w:r>
      <w:r>
        <w:rPr>
          <w:rFonts w:ascii="Calibri" w:hAnsi="Calibri"/>
          <w:b w:val="0"/>
          <w:i w:val="0"/>
          <w:color w:val="222732"/>
          <w:sz w:val="22"/>
        </w:rPr>
        <w:t xml:space="preserve">with one exception: you may bring </w:t>
      </w:r>
      <w:r>
        <w:rPr>
          <w:rFonts w:ascii="Calibri" w:hAnsi="Calibri"/>
          <w:b/>
          <w:i w:val="0"/>
          <w:color w:val="222732"/>
          <w:sz w:val="22"/>
        </w:rPr>
        <w:t>a single one-sided page of handwritten notes</w:t>
      </w:r>
      <w:r>
        <w:rPr>
          <w:rFonts w:ascii="Calibri" w:hAnsi="Calibri"/>
          <w:b w:val="0"/>
          <w:i w:val="0"/>
          <w:color w:val="222732"/>
          <w:sz w:val="22"/>
        </w:rPr>
        <w:t>. A basic or scientific calculator is allowed; phones and laptops are not.</w:t>
      </w:r>
    </w:p>
    <w:p>
      <w:pPr>
        <w:pStyle w:val="ListBullet"/>
        <w:spacing w:after="60"/>
      </w:pPr>
      <w:r>
        <w:rPr>
          <w:rFonts w:ascii="Calibri" w:hAnsi="Calibri"/>
          <w:b/>
          <w:i w:val="0"/>
          <w:color w:val="222732"/>
          <w:sz w:val="22"/>
        </w:rPr>
        <w:t xml:space="preserve">Show your work. </w:t>
      </w:r>
      <w:r>
        <w:rPr>
          <w:rFonts w:ascii="Calibri" w:hAnsi="Calibri"/>
          <w:b w:val="0"/>
          <w:i w:val="0"/>
          <w:color w:val="222732"/>
          <w:sz w:val="22"/>
        </w:rPr>
        <w:t>For any numerical answer, write the expression you evaluate, not just the final number — partial credit follows the reasoning.</w:t>
      </w:r>
    </w:p>
    <w:p>
      <w:pPr>
        <w:pStyle w:val="ListBullet"/>
        <w:spacing w:after="60"/>
      </w:pPr>
      <w:r>
        <w:rPr>
          <w:rFonts w:ascii="Calibri" w:hAnsi="Calibri"/>
          <w:b/>
          <w:i w:val="0"/>
          <w:color w:val="222732"/>
          <w:sz w:val="22"/>
        </w:rPr>
        <w:t xml:space="preserve">State your assumptions. </w:t>
      </w:r>
      <w:r>
        <w:rPr>
          <w:rFonts w:ascii="Calibri" w:hAnsi="Calibri"/>
          <w:b w:val="0"/>
          <w:i w:val="0"/>
          <w:color w:val="222732"/>
          <w:sz w:val="22"/>
        </w:rPr>
        <w:t>Whenever you claim an estimate is causal, name the identifying assumptions you are relying on (e.g. exchangeability / no unmeasured confounding, positivity, SUTVA, consistency). Unstated assumptions cost points.</w:t>
      </w:r>
    </w:p>
    <w:p>
      <w:pPr>
        <w:pStyle w:val="ListBullet"/>
        <w:spacing w:after="60"/>
      </w:pPr>
      <w:r>
        <w:rPr>
          <w:rFonts w:ascii="Calibri" w:hAnsi="Calibri"/>
          <w:b/>
          <w:i w:val="0"/>
          <w:color w:val="222732"/>
          <w:sz w:val="22"/>
        </w:rPr>
        <w:t xml:space="preserve">Notation. </w:t>
      </w:r>
      <w:r>
        <w:rPr>
          <w:rFonts w:ascii="Calibri" w:hAnsi="Calibri"/>
          <w:b w:val="0"/>
          <w:i w:val="0"/>
          <w:color w:val="222732"/>
          <w:sz w:val="22"/>
        </w:rPr>
        <w:t>Y is the outcome, T (or A) the treatment/exposure, X the covariates; Y(1), Y(0) are potential outcomes; e(X) = P(T = 1 | X) is the propensity score. do(·) denotes Pearl's intervention operator.</w:t>
      </w:r>
    </w:p>
    <w:p>
      <w:pPr>
        <w:pStyle w:val="ListBullet"/>
        <w:spacing w:after="60"/>
      </w:pPr>
      <w:r>
        <w:rPr>
          <w:rFonts w:ascii="Calibri" w:hAnsi="Calibri"/>
          <w:b/>
          <w:i w:val="0"/>
          <w:color w:val="222732"/>
          <w:sz w:val="22"/>
        </w:rPr>
        <w:t xml:space="preserve">Be concise. </w:t>
      </w:r>
      <w:r>
        <w:rPr>
          <w:rFonts w:ascii="Calibri" w:hAnsi="Calibri"/>
          <w:b w:val="0"/>
          <w:i w:val="0"/>
          <w:color w:val="222732"/>
          <w:sz w:val="22"/>
        </w:rPr>
        <w:t>Two or three precise sentences usually earn full marks on a short-answer part; long essays do not earn extra credit.</w:t>
      </w:r>
    </w:p>
    <w:p>
      <w:pPr>
        <w:spacing w:before="320" w:after="80"/>
        <w:pBdr>
          <w:left w:val="single" w:sz="18" w:space="8" w:color="2F6DB5"/>
        </w:pBdr>
        <w:ind w:left="115"/>
      </w:pPr>
      <w:r>
        <w:rPr>
          <w:rFonts w:ascii="Calibri" w:hAnsi="Calibri"/>
          <w:b/>
          <w:i w:val="0"/>
          <w:color w:val="1F2A44"/>
          <w:sz w:val="32"/>
        </w:rPr>
        <w:t>How the points are distributed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2A44"/>
          </w:tcPr>
          <w:p>
            <w:r>
              <w:rPr>
                <w:rFonts w:ascii="Calibri" w:hAnsi="Calibri"/>
                <w:b/>
                <w:i w:val="0"/>
                <w:color w:val="FFFFFF"/>
                <w:sz w:val="21"/>
              </w:rPr>
              <w:t>Section</w:t>
            </w:r>
          </w:p>
        </w:tc>
        <w:tc>
          <w:tcPr>
            <w:tcW w:type="dxa" w:w="3216"/>
            <w:shd w:val="clear" w:color="auto" w:fill="1F2A44"/>
          </w:tcPr>
          <w:p>
            <w:r>
              <w:rPr>
                <w:rFonts w:ascii="Calibri" w:hAnsi="Calibri"/>
                <w:b/>
                <w:i w:val="0"/>
                <w:color w:val="FFFFFF"/>
                <w:sz w:val="21"/>
              </w:rPr>
              <w:t>Topic</w:t>
            </w:r>
          </w:p>
        </w:tc>
        <w:tc>
          <w:tcPr>
            <w:tcW w:type="dxa" w:w="3216"/>
            <w:shd w:val="clear" w:color="auto" w:fill="1F2A44"/>
          </w:tcPr>
          <w:p>
            <w:r>
              <w:rPr>
                <w:rFonts w:ascii="Calibri" w:hAnsi="Calibri"/>
                <w:b/>
                <w:i w:val="0"/>
                <w:color w:val="FFFFFF"/>
                <w:sz w:val="21"/>
              </w:rPr>
              <w:t>Points</w:t>
            </w:r>
          </w:p>
        </w:tc>
      </w:tr>
      <w:tr>
        <w:tc>
          <w:tcPr>
            <w:tcW w:type="dxa" w:w="3216"/>
          </w:tcPr>
          <w:p>
            <w:r>
              <w:rPr>
                <w:rFonts w:ascii="Calibri" w:hAnsi="Calibri"/>
                <w:b w:val="0"/>
                <w:i w:val="0"/>
                <w:color w:val="222732"/>
                <w:sz w:val="21"/>
              </w:rPr>
              <w:t>A</w:t>
            </w:r>
          </w:p>
        </w:tc>
        <w:tc>
          <w:tcPr>
            <w:tcW w:type="dxa" w:w="3216"/>
          </w:tcPr>
          <w:p>
            <w:r>
              <w:rPr>
                <w:rFonts w:ascii="Calibri" w:hAnsi="Calibri"/>
                <w:b w:val="0"/>
                <w:i w:val="0"/>
                <w:color w:val="222732"/>
                <w:sz w:val="21"/>
              </w:rPr>
              <w:t>Conceptual foundations</w:t>
            </w:r>
          </w:p>
        </w:tc>
        <w:tc>
          <w:tcPr>
            <w:tcW w:type="dxa" w:w="3216"/>
          </w:tcPr>
          <w:p>
            <w:r>
              <w:rPr>
                <w:rFonts w:ascii="Calibri" w:hAnsi="Calibri"/>
                <w:b w:val="0"/>
                <w:i w:val="0"/>
                <w:color w:val="222732"/>
                <w:sz w:val="21"/>
              </w:rPr>
              <w:t>18</w:t>
            </w:r>
          </w:p>
        </w:tc>
      </w:tr>
      <w:tr>
        <w:tc>
          <w:tcPr>
            <w:tcW w:type="dxa" w:w="3216"/>
            <w:shd w:val="clear" w:color="auto" w:fill="ECEEF2"/>
          </w:tcPr>
          <w:p>
            <w:r>
              <w:rPr>
                <w:rFonts w:ascii="Calibri" w:hAnsi="Calibri"/>
                <w:b w:val="0"/>
                <w:i w:val="0"/>
                <w:color w:val="222732"/>
                <w:sz w:val="21"/>
              </w:rPr>
              <w:t>B</w:t>
            </w:r>
          </w:p>
        </w:tc>
        <w:tc>
          <w:tcPr>
            <w:tcW w:type="dxa" w:w="3216"/>
            <w:shd w:val="clear" w:color="auto" w:fill="ECEEF2"/>
          </w:tcPr>
          <w:p>
            <w:r>
              <w:rPr>
                <w:rFonts w:ascii="Calibri" w:hAnsi="Calibri"/>
                <w:b w:val="0"/>
                <w:i w:val="0"/>
                <w:color w:val="222732"/>
                <w:sz w:val="21"/>
              </w:rPr>
              <w:t>Causal graphs (DAGs)</w:t>
            </w:r>
          </w:p>
        </w:tc>
        <w:tc>
          <w:tcPr>
            <w:tcW w:type="dxa" w:w="3216"/>
            <w:shd w:val="clear" w:color="auto" w:fill="ECEEF2"/>
          </w:tcPr>
          <w:p>
            <w:r>
              <w:rPr>
                <w:rFonts w:ascii="Calibri" w:hAnsi="Calibri"/>
                <w:b w:val="0"/>
                <w:i w:val="0"/>
                <w:color w:val="222732"/>
                <w:sz w:val="21"/>
              </w:rPr>
              <w:t>18</w:t>
            </w:r>
          </w:p>
        </w:tc>
      </w:tr>
      <w:tr>
        <w:tc>
          <w:tcPr>
            <w:tcW w:type="dxa" w:w="3216"/>
          </w:tcPr>
          <w:p>
            <w:r>
              <w:rPr>
                <w:rFonts w:ascii="Calibri" w:hAnsi="Calibri"/>
                <w:b w:val="0"/>
                <w:i w:val="0"/>
                <w:color w:val="222732"/>
                <w:sz w:val="21"/>
              </w:rPr>
              <w:t>C</w:t>
            </w:r>
          </w:p>
        </w:tc>
        <w:tc>
          <w:tcPr>
            <w:tcW w:type="dxa" w:w="3216"/>
          </w:tcPr>
          <w:p>
            <w:r>
              <w:rPr>
                <w:rFonts w:ascii="Calibri" w:hAnsi="Calibri"/>
                <w:b w:val="0"/>
                <w:i w:val="0"/>
                <w:color w:val="222732"/>
                <w:sz w:val="21"/>
              </w:rPr>
              <w:t>Potential outcomes &amp; estimands</w:t>
            </w:r>
          </w:p>
        </w:tc>
        <w:tc>
          <w:tcPr>
            <w:tcW w:type="dxa" w:w="3216"/>
          </w:tcPr>
          <w:p>
            <w:r>
              <w:rPr>
                <w:rFonts w:ascii="Calibri" w:hAnsi="Calibri"/>
                <w:b w:val="0"/>
                <w:i w:val="0"/>
                <w:color w:val="222732"/>
                <w:sz w:val="21"/>
              </w:rPr>
              <w:t>16</w:t>
            </w:r>
          </w:p>
        </w:tc>
      </w:tr>
      <w:tr>
        <w:tc>
          <w:tcPr>
            <w:tcW w:type="dxa" w:w="3216"/>
            <w:shd w:val="clear" w:color="auto" w:fill="ECEEF2"/>
          </w:tcPr>
          <w:p>
            <w:r>
              <w:rPr>
                <w:rFonts w:ascii="Calibri" w:hAnsi="Calibri"/>
                <w:b w:val="0"/>
                <w:i w:val="0"/>
                <w:color w:val="222732"/>
                <w:sz w:val="21"/>
              </w:rPr>
              <w:t>D</w:t>
            </w:r>
          </w:p>
        </w:tc>
        <w:tc>
          <w:tcPr>
            <w:tcW w:type="dxa" w:w="3216"/>
            <w:shd w:val="clear" w:color="auto" w:fill="ECEEF2"/>
          </w:tcPr>
          <w:p>
            <w:r>
              <w:rPr>
                <w:rFonts w:ascii="Calibri" w:hAnsi="Calibri"/>
                <w:b w:val="0"/>
                <w:i w:val="0"/>
                <w:color w:val="222732"/>
                <w:sz w:val="21"/>
              </w:rPr>
              <w:t>Randomized experiments &amp; A/B testing</w:t>
            </w:r>
          </w:p>
        </w:tc>
        <w:tc>
          <w:tcPr>
            <w:tcW w:type="dxa" w:w="3216"/>
            <w:shd w:val="clear" w:color="auto" w:fill="ECEEF2"/>
          </w:tcPr>
          <w:p>
            <w:r>
              <w:rPr>
                <w:rFonts w:ascii="Calibri" w:hAnsi="Calibri"/>
                <w:b w:val="0"/>
                <w:i w:val="0"/>
                <w:color w:val="222732"/>
                <w:sz w:val="21"/>
              </w:rPr>
              <w:t>16</w:t>
            </w:r>
          </w:p>
        </w:tc>
      </w:tr>
      <w:tr>
        <w:tc>
          <w:tcPr>
            <w:tcW w:type="dxa" w:w="3216"/>
          </w:tcPr>
          <w:p>
            <w:r>
              <w:rPr>
                <w:rFonts w:ascii="Calibri" w:hAnsi="Calibri"/>
                <w:b w:val="0"/>
                <w:i w:val="0"/>
                <w:color w:val="222732"/>
                <w:sz w:val="21"/>
              </w:rPr>
              <w:t>E</w:t>
            </w:r>
          </w:p>
        </w:tc>
        <w:tc>
          <w:tcPr>
            <w:tcW w:type="dxa" w:w="3216"/>
          </w:tcPr>
          <w:p>
            <w:r>
              <w:rPr>
                <w:rFonts w:ascii="Calibri" w:hAnsi="Calibri"/>
                <w:b w:val="0"/>
                <w:i w:val="0"/>
                <w:color w:val="222732"/>
                <w:sz w:val="21"/>
              </w:rPr>
              <w:t>Regression &amp; adjustment</w:t>
            </w:r>
          </w:p>
        </w:tc>
        <w:tc>
          <w:tcPr>
            <w:tcW w:type="dxa" w:w="3216"/>
          </w:tcPr>
          <w:p>
            <w:r>
              <w:rPr>
                <w:rFonts w:ascii="Calibri" w:hAnsi="Calibri"/>
                <w:b w:val="0"/>
                <w:i w:val="0"/>
                <w:color w:val="222732"/>
                <w:sz w:val="21"/>
              </w:rPr>
              <w:t>14</w:t>
            </w:r>
          </w:p>
        </w:tc>
      </w:tr>
      <w:tr>
        <w:tc>
          <w:tcPr>
            <w:tcW w:type="dxa" w:w="3216"/>
            <w:shd w:val="clear" w:color="auto" w:fill="ECEEF2"/>
          </w:tcPr>
          <w:p>
            <w:r>
              <w:rPr>
                <w:rFonts w:ascii="Calibri" w:hAnsi="Calibri"/>
                <w:b w:val="0"/>
                <w:i w:val="0"/>
                <w:color w:val="222732"/>
                <w:sz w:val="21"/>
              </w:rPr>
              <w:t>F</w:t>
            </w:r>
          </w:p>
        </w:tc>
        <w:tc>
          <w:tcPr>
            <w:tcW w:type="dxa" w:w="3216"/>
            <w:shd w:val="clear" w:color="auto" w:fill="ECEEF2"/>
          </w:tcPr>
          <w:p>
            <w:r>
              <w:rPr>
                <w:rFonts w:ascii="Calibri" w:hAnsi="Calibri"/>
                <w:b w:val="0"/>
                <w:i w:val="0"/>
                <w:color w:val="222732"/>
                <w:sz w:val="21"/>
              </w:rPr>
              <w:t>Matching, propensity scores &amp; weighting</w:t>
            </w:r>
          </w:p>
        </w:tc>
        <w:tc>
          <w:tcPr>
            <w:tcW w:type="dxa" w:w="3216"/>
            <w:shd w:val="clear" w:color="auto" w:fill="ECEEF2"/>
          </w:tcPr>
          <w:p>
            <w:r>
              <w:rPr>
                <w:rFonts w:ascii="Calibri" w:hAnsi="Calibri"/>
                <w:b w:val="0"/>
                <w:i w:val="0"/>
                <w:color w:val="222732"/>
                <w:sz w:val="21"/>
              </w:rPr>
              <w:t>18</w:t>
            </w:r>
          </w:p>
        </w:tc>
      </w:tr>
      <w:tr>
        <w:tc>
          <w:tcPr>
            <w:tcW w:type="dxa" w:w="3216"/>
          </w:tcPr>
          <w:p>
            <w:r>
              <w:rPr>
                <w:rFonts w:ascii="Calibri" w:hAnsi="Calibri"/>
                <w:b w:val="0"/>
                <w:i w:val="0"/>
                <w:color w:val="222732"/>
                <w:sz w:val="21"/>
              </w:rPr>
            </w:r>
          </w:p>
        </w:tc>
        <w:tc>
          <w:tcPr>
            <w:tcW w:type="dxa" w:w="3216"/>
          </w:tcPr>
          <w:p>
            <w:r>
              <w:rPr>
                <w:rFonts w:ascii="Calibri" w:hAnsi="Calibri"/>
                <w:b w:val="0"/>
                <w:i w:val="0"/>
                <w:color w:val="222732"/>
                <w:sz w:val="21"/>
              </w:rPr>
              <w:t>Total</w:t>
            </w:r>
          </w:p>
        </w:tc>
        <w:tc>
          <w:tcPr>
            <w:tcW w:type="dxa" w:w="3216"/>
          </w:tcPr>
          <w:p>
            <w:r>
              <w:rPr>
                <w:rFonts w:ascii="Calibri" w:hAnsi="Calibri"/>
                <w:b w:val="0"/>
                <w:i w:val="0"/>
                <w:color w:val="222732"/>
                <w:sz w:val="21"/>
              </w:rPr>
              <w:t>100</w:t>
            </w:r>
          </w:p>
        </w:tc>
      </w:tr>
    </w:tbl>
    <w:p>
      <w:pPr>
        <w:spacing w:after="40"/>
      </w:pPr>
    </w:p>
    <w:p>
      <w:pPr>
        <w:spacing w:before="320" w:after="80"/>
        <w:pBdr>
          <w:left w:val="single" w:sz="18" w:space="8" w:color="2F6DB5"/>
        </w:pBdr>
        <w:ind w:left="115"/>
      </w:pPr>
      <w:r>
        <w:rPr>
          <w:rFonts w:ascii="Calibri" w:hAnsi="Calibri"/>
          <w:b/>
          <w:i w:val="0"/>
          <w:color w:val="1F2A44"/>
          <w:sz w:val="32"/>
        </w:rPr>
        <w:t>Section A — Conceptual foundations  (18 points)</w:t>
      </w:r>
    </w:p>
    <w:p>
      <w:pPr>
        <w:spacing w:before="120" w:after="40"/>
      </w:pPr>
      <w:r>
        <w:rPr>
          <w:rFonts w:ascii="Calibri" w:hAnsi="Calibri"/>
          <w:b/>
          <w:i w:val="0"/>
          <w:color w:val="2F6DB5"/>
          <w:sz w:val="22"/>
        </w:rPr>
        <w:t xml:space="preserve">1. </w:t>
      </w:r>
      <w:r>
        <w:rPr>
          <w:rFonts w:ascii="Calibri" w:hAnsi="Calibri"/>
          <w:b/>
          <w:i w:val="0"/>
          <w:color w:val="222732"/>
          <w:sz w:val="22"/>
        </w:rPr>
        <w:t>Prediction vs. intervention, and the do-operator</w:t>
      </w:r>
      <w:r>
        <w:rPr>
          <w:rFonts w:ascii="Calibri" w:hAnsi="Calibri"/>
          <w:b/>
          <w:i w:val="0"/>
          <w:color w:val="E9A23B"/>
          <w:sz w:val="22"/>
        </w:rPr>
        <w:t xml:space="preserve">   [10 pts]</w:t>
      </w:r>
    </w:p>
    <w:p>
      <w:pPr>
        <w:spacing w:after="120"/>
      </w:pPr>
      <w:r>
        <w:rPr>
          <w:rFonts w:ascii="Calibri" w:hAnsi="Calibri"/>
          <w:b w:val="0"/>
          <w:i w:val="0"/>
          <w:color w:val="222732"/>
          <w:sz w:val="22"/>
        </w:rPr>
        <w:t xml:space="preserve">A hospital's analytics team finds that, in their records, patients who receive a particular antibiotic have </w:t>
      </w:r>
      <w:r>
        <w:rPr>
          <w:rFonts w:ascii="Calibri" w:hAnsi="Calibri"/>
          <w:b w:val="0"/>
          <w:i/>
          <w:color w:val="222732"/>
          <w:sz w:val="22"/>
        </w:rPr>
        <w:t>higher</w:t>
      </w:r>
      <w:r>
        <w:rPr>
          <w:rFonts w:ascii="Calibri" w:hAnsi="Calibri"/>
          <w:b w:val="0"/>
          <w:i w:val="0"/>
          <w:color w:val="222732"/>
          <w:sz w:val="22"/>
        </w:rPr>
        <w:t xml:space="preserve"> 30-day mortality than patients who do not. A vendor proposes a model that predicts mortality very accurately from the chart, including the antibiotic indicator.</w:t>
      </w:r>
    </w:p>
    <w:p>
      <w:pPr>
        <w:spacing w:after="60"/>
      </w:pPr>
      <w:r>
        <w:rPr>
          <w:rFonts w:ascii="Calibri" w:hAnsi="Calibri"/>
          <w:b/>
          <w:i w:val="0"/>
          <w:color w:val="2F6DB5"/>
          <w:sz w:val="22"/>
        </w:rPr>
        <w:t xml:space="preserve">(a) </w:t>
      </w:r>
      <w:r>
        <w:rPr>
          <w:rFonts w:ascii="Calibri" w:hAnsi="Calibri"/>
          <w:b w:val="0"/>
          <w:i w:val="0"/>
          <w:color w:val="222732"/>
          <w:sz w:val="22"/>
        </w:rPr>
        <w:t>Explain the difference between the predictive quantity P(Y = 1 | T = 1) and the interventional quantity P(Y = 1 | do(T = 1)). Why can the vendor's model be excellent at the first while saying nothing reliable about the second?</w:t>
      </w:r>
      <w:r>
        <w:rPr>
          <w:rFonts w:ascii="Calibri" w:hAnsi="Calibri"/>
          <w:b/>
          <w:i w:val="0"/>
          <w:color w:val="E9A23B"/>
          <w:sz w:val="22"/>
        </w:rPr>
        <w:t xml:space="preserve">   [4 pts]</w:t>
      </w:r>
    </w:p>
    <w:p>
      <w:pPr>
        <w:spacing w:after="200"/>
      </w:pPr>
      <w:r>
        <w:rPr>
          <w:rFonts w:ascii="Calibri" w:hAnsi="Calibri"/>
          <w:b w:val="0"/>
          <w:i w:val="0"/>
          <w:color w:val="222732"/>
          <w:sz w:val="22"/>
        </w:rPr>
      </w:r>
    </w:p>
    <w:p>
      <w:pPr>
        <w:spacing w:after="60"/>
      </w:pPr>
      <w:r>
        <w:rPr>
          <w:rFonts w:ascii="Calibri" w:hAnsi="Calibri"/>
          <w:b/>
          <w:i w:val="0"/>
          <w:color w:val="2F6DB5"/>
          <w:sz w:val="22"/>
        </w:rPr>
        <w:t xml:space="preserve">(b) </w:t>
      </w:r>
      <w:r>
        <w:rPr>
          <w:rFonts w:ascii="Calibri" w:hAnsi="Calibri"/>
          <w:b w:val="0"/>
          <w:i w:val="0"/>
          <w:color w:val="222732"/>
          <w:sz w:val="22"/>
        </w:rPr>
        <w:t>Name the phenomenon that most plausibly produces the positive antibiotic–mortality association in the records, and explain in one sentence why it does not imply the drug is harmful.</w:t>
      </w:r>
      <w:r>
        <w:rPr>
          <w:rFonts w:ascii="Calibri" w:hAnsi="Calibri"/>
          <w:b/>
          <w:i w:val="0"/>
          <w:color w:val="E9A23B"/>
          <w:sz w:val="22"/>
        </w:rPr>
        <w:t xml:space="preserve">   [3 pts]</w:t>
      </w:r>
    </w:p>
    <w:p>
      <w:pPr>
        <w:spacing w:after="200"/>
      </w:pPr>
      <w:r>
        <w:rPr>
          <w:rFonts w:ascii="Calibri" w:hAnsi="Calibri"/>
          <w:b w:val="0"/>
          <w:i w:val="0"/>
          <w:color w:val="222732"/>
          <w:sz w:val="22"/>
        </w:rPr>
      </w:r>
    </w:p>
    <w:p>
      <w:pPr>
        <w:spacing w:after="60"/>
      </w:pPr>
      <w:r>
        <w:rPr>
          <w:rFonts w:ascii="Calibri" w:hAnsi="Calibri"/>
          <w:b/>
          <w:i w:val="0"/>
          <w:color w:val="2F6DB5"/>
          <w:sz w:val="22"/>
        </w:rPr>
        <w:t xml:space="preserve">(c) </w:t>
      </w:r>
      <w:r>
        <w:rPr>
          <w:rFonts w:ascii="Calibri" w:hAnsi="Calibri"/>
          <w:b w:val="0"/>
          <w:i w:val="0"/>
          <w:color w:val="222732"/>
          <w:sz w:val="22"/>
        </w:rPr>
        <w:t>State, in one sentence each, the kind of study or analysis that would let the team estimate the interventional quantity, and the single most important assumption it would rely on.</w:t>
      </w:r>
      <w:r>
        <w:rPr>
          <w:rFonts w:ascii="Calibri" w:hAnsi="Calibri"/>
          <w:b/>
          <w:i w:val="0"/>
          <w:color w:val="E9A23B"/>
          <w:sz w:val="22"/>
        </w:rPr>
        <w:t xml:space="preserve">   [3 pts]</w:t>
      </w:r>
    </w:p>
    <w:p>
      <w:pPr>
        <w:spacing w:after="200"/>
      </w:pPr>
      <w:r>
        <w:rPr>
          <w:rFonts w:ascii="Calibri" w:hAnsi="Calibri"/>
          <w:b w:val="0"/>
          <w:i w:val="0"/>
          <w:color w:val="222732"/>
          <w:sz w:val="22"/>
        </w:rPr>
      </w:r>
    </w:p>
    <w:p>
      <w:pPr>
        <w:spacing w:before="120" w:after="40"/>
      </w:pPr>
      <w:r>
        <w:rPr>
          <w:rFonts w:ascii="Calibri" w:hAnsi="Calibri"/>
          <w:b/>
          <w:i w:val="0"/>
          <w:color w:val="2F6DB5"/>
          <w:sz w:val="22"/>
        </w:rPr>
        <w:t xml:space="preserve">2. </w:t>
      </w:r>
      <w:r>
        <w:rPr>
          <w:rFonts w:ascii="Calibri" w:hAnsi="Calibri"/>
          <w:b/>
          <w:i w:val="0"/>
          <w:color w:val="222732"/>
          <w:sz w:val="22"/>
        </w:rPr>
        <w:t>The three elementary structures</w:t>
      </w:r>
      <w:r>
        <w:rPr>
          <w:rFonts w:ascii="Calibri" w:hAnsi="Calibri"/>
          <w:b/>
          <w:i w:val="0"/>
          <w:color w:val="E9A23B"/>
          <w:sz w:val="22"/>
        </w:rPr>
        <w:t xml:space="preserve">   [8 pts]</w:t>
      </w:r>
    </w:p>
    <w:p>
      <w:pPr>
        <w:spacing w:after="120"/>
      </w:pPr>
      <w:r>
        <w:rPr>
          <w:rFonts w:ascii="Calibri" w:hAnsi="Calibri"/>
          <w:b w:val="0"/>
          <w:i w:val="0"/>
          <w:color w:val="222732"/>
          <w:sz w:val="22"/>
        </w:rPr>
        <w:t>Causal effects flow through chains, forks, and colliders. Consider three measured variables A, B, C.</w:t>
      </w:r>
    </w:p>
    <w:p>
      <w:pPr>
        <w:spacing w:after="60"/>
      </w:pPr>
      <w:r>
        <w:rPr>
          <w:rFonts w:ascii="Calibri" w:hAnsi="Calibri"/>
          <w:b/>
          <w:i w:val="0"/>
          <w:color w:val="2F6DB5"/>
          <w:sz w:val="22"/>
        </w:rPr>
        <w:t xml:space="preserve">(a) </w:t>
      </w:r>
      <w:r>
        <w:rPr>
          <w:rFonts w:ascii="Calibri" w:hAnsi="Calibri"/>
          <w:b w:val="0"/>
          <w:i w:val="0"/>
          <w:color w:val="222732"/>
          <w:sz w:val="22"/>
        </w:rPr>
        <w:t>For each of the three structures below, state whether A and C are marginally (unconditionally) associated, and whether conditioning on B (the middle variable) creates or removes association. Fill in the logic for all three:</w:t>
      </w:r>
      <w:r>
        <w:rPr>
          <w:rFonts w:ascii="Calibri" w:hAnsi="Calibri"/>
          <w:b/>
          <w:i w:val="0"/>
          <w:color w:val="E9A23B"/>
          <w:sz w:val="22"/>
        </w:rPr>
        <w:t xml:space="preserve">   [6 pts]</w:t>
      </w:r>
    </w:p>
    <w:p>
      <w:pPr>
        <w:spacing w:after="60"/>
      </w:pPr>
      <w:r>
        <w:rPr>
          <w:rFonts w:ascii="Consolas" w:hAnsi="Consolas"/>
          <w:b w:val="0"/>
          <w:i w:val="0"/>
          <w:color w:val="222732"/>
          <w:sz w:val="20"/>
        </w:rPr>
        <w:t xml:space="preserve">  (i) Chain  A → B → C    (ii) Fork  A ← B → C    (iii) Collider  A → B ← C</w:t>
      </w:r>
    </w:p>
    <w:p>
      <w:pPr>
        <w:spacing w:after="200"/>
      </w:pPr>
      <w:r>
        <w:rPr>
          <w:rFonts w:ascii="Calibri" w:hAnsi="Calibri"/>
          <w:b w:val="0"/>
          <w:i w:val="0"/>
          <w:color w:val="222732"/>
          <w:sz w:val="22"/>
        </w:rPr>
      </w:r>
    </w:p>
    <w:p>
      <w:pPr>
        <w:spacing w:after="60"/>
      </w:pPr>
      <w:r>
        <w:rPr>
          <w:rFonts w:ascii="Calibri" w:hAnsi="Calibri"/>
          <w:b/>
          <w:i w:val="0"/>
          <w:color w:val="2F6DB5"/>
          <w:sz w:val="22"/>
        </w:rPr>
        <w:t xml:space="preserve">(b) </w:t>
      </w:r>
      <w:r>
        <w:rPr>
          <w:rFonts w:ascii="Calibri" w:hAnsi="Calibri"/>
          <w:b w:val="0"/>
          <w:i w:val="0"/>
          <w:color w:val="222732"/>
          <w:sz w:val="22"/>
        </w:rPr>
        <w:t>Which one of the three is the reason that "controlling for more variables" is not always safer? Answer in one sentence.</w:t>
      </w:r>
      <w:r>
        <w:rPr>
          <w:rFonts w:ascii="Calibri" w:hAnsi="Calibri"/>
          <w:b/>
          <w:i w:val="0"/>
          <w:color w:val="E9A23B"/>
          <w:sz w:val="22"/>
        </w:rPr>
        <w:t xml:space="preserve">   [2 pts]</w:t>
      </w:r>
    </w:p>
    <w:p>
      <w:pPr>
        <w:spacing w:after="200"/>
      </w:pPr>
      <w:r>
        <w:rPr>
          <w:rFonts w:ascii="Calibri" w:hAnsi="Calibri"/>
          <w:b w:val="0"/>
          <w:i w:val="0"/>
          <w:color w:val="222732"/>
          <w:sz w:val="22"/>
        </w:rPr>
      </w:r>
    </w:p>
    <w:p>
      <w:pPr>
        <w:spacing w:before="320" w:after="80"/>
        <w:pBdr>
          <w:left w:val="single" w:sz="18" w:space="8" w:color="2F6DB5"/>
        </w:pBdr>
        <w:ind w:left="115"/>
      </w:pPr>
      <w:r>
        <w:rPr>
          <w:rFonts w:ascii="Calibri" w:hAnsi="Calibri"/>
          <w:b/>
          <w:i w:val="0"/>
          <w:color w:val="1F2A44"/>
          <w:sz w:val="32"/>
        </w:rPr>
        <w:t>Section B — Causal graphs (DAGs)  (18 points)</w:t>
      </w:r>
    </w:p>
    <w:p>
      <w:pPr>
        <w:spacing w:before="120" w:after="40"/>
      </w:pPr>
      <w:r>
        <w:rPr>
          <w:rFonts w:ascii="Calibri" w:hAnsi="Calibri"/>
          <w:b/>
          <w:i w:val="0"/>
          <w:color w:val="2F6DB5"/>
          <w:sz w:val="22"/>
        </w:rPr>
        <w:t xml:space="preserve">3. </w:t>
      </w:r>
      <w:r>
        <w:rPr>
          <w:rFonts w:ascii="Calibri" w:hAnsi="Calibri"/>
          <w:b/>
          <w:i w:val="0"/>
          <w:color w:val="222732"/>
          <w:sz w:val="22"/>
        </w:rPr>
        <w:t>Reading a DAG: paths, blocking, and a valid adjustment set</w:t>
      </w:r>
      <w:r>
        <w:rPr>
          <w:rFonts w:ascii="Calibri" w:hAnsi="Calibri"/>
          <w:b/>
          <w:i w:val="0"/>
          <w:color w:val="E9A23B"/>
          <w:sz w:val="22"/>
        </w:rPr>
        <w:t xml:space="preserve">   [18 pts]</w:t>
      </w:r>
    </w:p>
    <w:p>
      <w:pPr>
        <w:spacing w:after="120"/>
      </w:pPr>
      <w:r>
        <w:rPr>
          <w:rFonts w:ascii="Calibri" w:hAnsi="Calibri"/>
          <w:b w:val="0"/>
          <w:i w:val="0"/>
          <w:color w:val="222732"/>
          <w:sz w:val="22"/>
        </w:rPr>
        <w:t xml:space="preserve">A team studies the effect of a job-training program </w:t>
      </w:r>
      <w:r>
        <w:rPr>
          <w:rFonts w:ascii="Calibri" w:hAnsi="Calibri"/>
          <w:b/>
          <w:i w:val="0"/>
          <w:color w:val="222732"/>
          <w:sz w:val="22"/>
        </w:rPr>
        <w:t>T</w:t>
      </w:r>
      <w:r>
        <w:rPr>
          <w:rFonts w:ascii="Calibri" w:hAnsi="Calibri"/>
          <w:b w:val="0"/>
          <w:i w:val="0"/>
          <w:color w:val="222732"/>
          <w:sz w:val="22"/>
        </w:rPr>
        <w:t xml:space="preserve"> on later earnings </w:t>
      </w:r>
      <w:r>
        <w:rPr>
          <w:rFonts w:ascii="Calibri" w:hAnsi="Calibri"/>
          <w:b/>
          <w:i w:val="0"/>
          <w:color w:val="222732"/>
          <w:sz w:val="22"/>
        </w:rPr>
        <w:t>Y</w:t>
      </w:r>
      <w:r>
        <w:rPr>
          <w:rFonts w:ascii="Calibri" w:hAnsi="Calibri"/>
          <w:b w:val="0"/>
          <w:i w:val="0"/>
          <w:color w:val="222732"/>
          <w:sz w:val="22"/>
        </w:rPr>
        <w:t>. Their assumed DAG has the following directed edges (arrow = direct cause):</w:t>
      </w:r>
    </w:p>
    <w:p>
      <w:pPr>
        <w:spacing w:after="120"/>
      </w:pPr>
      <w:r>
        <w:rPr>
          <w:rFonts w:ascii="Consolas" w:hAnsi="Consolas"/>
          <w:b w:val="0"/>
          <w:i w:val="0"/>
          <w:color w:val="222732"/>
          <w:sz w:val="20"/>
        </w:rPr>
        <w:t xml:space="preserve">    W → T      W → Y      T → M → Y      T → Y      Y → H      M → H</w:t>
      </w:r>
    </w:p>
    <w:p>
      <w:pPr>
        <w:spacing w:after="120"/>
      </w:pPr>
      <w:r>
        <w:rPr>
          <w:rFonts w:ascii="Calibri" w:hAnsi="Calibri"/>
          <w:b w:val="0"/>
          <w:i w:val="0"/>
          <w:color w:val="222732"/>
          <w:sz w:val="22"/>
        </w:rPr>
        <w:t>Here W = prior work history (a common cause), M = skills gained during the program (a mediator), H = a post-program certification exam score, and there is a direct effect T → Y.</w:t>
      </w:r>
    </w:p>
    <w:p>
      <w:pPr>
        <w:spacing w:after="60"/>
      </w:pPr>
      <w:r>
        <w:rPr>
          <w:rFonts w:ascii="Calibri" w:hAnsi="Calibri"/>
          <w:b/>
          <w:i w:val="0"/>
          <w:color w:val="2F6DB5"/>
          <w:sz w:val="22"/>
        </w:rPr>
        <w:t xml:space="preserve">(a) </w:t>
      </w:r>
      <w:r>
        <w:rPr>
          <w:rFonts w:ascii="Calibri" w:hAnsi="Calibri"/>
          <w:b w:val="0"/>
          <w:i w:val="0"/>
          <w:color w:val="222732"/>
          <w:sz w:val="22"/>
        </w:rPr>
        <w:t>List every path (causal and non-causal) between T and Y. For each, say whether it is a directed/causal path or a back-door path.</w:t>
      </w:r>
      <w:r>
        <w:rPr>
          <w:rFonts w:ascii="Calibri" w:hAnsi="Calibri"/>
          <w:b/>
          <w:i w:val="0"/>
          <w:color w:val="E9A23B"/>
          <w:sz w:val="22"/>
        </w:rPr>
        <w:t xml:space="preserve">   [5 pts]</w:t>
      </w:r>
    </w:p>
    <w:p>
      <w:pPr>
        <w:spacing w:after="200"/>
      </w:pPr>
      <w:r>
        <w:rPr>
          <w:rFonts w:ascii="Calibri" w:hAnsi="Calibri"/>
          <w:b w:val="0"/>
          <w:i w:val="0"/>
          <w:color w:val="222732"/>
          <w:sz w:val="22"/>
        </w:rPr>
      </w:r>
    </w:p>
    <w:p>
      <w:pPr>
        <w:spacing w:after="60"/>
      </w:pPr>
      <w:r>
        <w:rPr>
          <w:rFonts w:ascii="Calibri" w:hAnsi="Calibri"/>
          <w:b/>
          <w:i w:val="0"/>
          <w:color w:val="2F6DB5"/>
          <w:sz w:val="22"/>
        </w:rPr>
        <w:t xml:space="preserve">(b) </w:t>
      </w:r>
      <w:r>
        <w:rPr>
          <w:rFonts w:ascii="Calibri" w:hAnsi="Calibri"/>
          <w:b w:val="0"/>
          <w:i w:val="0"/>
          <w:color w:val="222732"/>
          <w:sz w:val="22"/>
        </w:rPr>
        <w:t>With the empty conditioning set (adjust for nothing), classify each path in (a) as open or blocked. Is the crude T–Y association equal to the total causal effect? Why or why not?</w:t>
      </w:r>
      <w:r>
        <w:rPr>
          <w:rFonts w:ascii="Calibri" w:hAnsi="Calibri"/>
          <w:b/>
          <w:i w:val="0"/>
          <w:color w:val="E9A23B"/>
          <w:sz w:val="22"/>
        </w:rPr>
        <w:t xml:space="preserve">   [4 pts]</w:t>
      </w:r>
    </w:p>
    <w:p>
      <w:pPr>
        <w:spacing w:after="200"/>
      </w:pPr>
      <w:r>
        <w:rPr>
          <w:rFonts w:ascii="Calibri" w:hAnsi="Calibri"/>
          <w:b w:val="0"/>
          <w:i w:val="0"/>
          <w:color w:val="222732"/>
          <w:sz w:val="22"/>
        </w:rPr>
      </w:r>
    </w:p>
    <w:p>
      <w:pPr>
        <w:spacing w:after="60"/>
      </w:pPr>
      <w:r>
        <w:rPr>
          <w:rFonts w:ascii="Calibri" w:hAnsi="Calibri"/>
          <w:b/>
          <w:i w:val="0"/>
          <w:color w:val="2F6DB5"/>
          <w:sz w:val="22"/>
        </w:rPr>
        <w:t xml:space="preserve">(c) </w:t>
      </w:r>
      <w:r>
        <w:rPr>
          <w:rFonts w:ascii="Calibri" w:hAnsi="Calibri"/>
          <w:b w:val="0"/>
          <w:i w:val="0"/>
          <w:color w:val="222732"/>
          <w:sz w:val="22"/>
        </w:rPr>
        <w:t>Give a valid back-door adjustment set for the TOTAL effect of T on Y, and justify it with the back-door criterion. Explain why you must NOT put the mediator M in the set if the total effect is the target.</w:t>
      </w:r>
      <w:r>
        <w:rPr>
          <w:rFonts w:ascii="Calibri" w:hAnsi="Calibri"/>
          <w:b/>
          <w:i w:val="0"/>
          <w:color w:val="E9A23B"/>
          <w:sz w:val="22"/>
        </w:rPr>
        <w:t xml:space="preserve">   [4 pts]</w:t>
      </w:r>
    </w:p>
    <w:p>
      <w:pPr>
        <w:spacing w:after="200"/>
      </w:pPr>
      <w:r>
        <w:rPr>
          <w:rFonts w:ascii="Calibri" w:hAnsi="Calibri"/>
          <w:b w:val="0"/>
          <w:i w:val="0"/>
          <w:color w:val="222732"/>
          <w:sz w:val="22"/>
        </w:rPr>
      </w:r>
    </w:p>
    <w:p>
      <w:pPr>
        <w:spacing w:after="60"/>
      </w:pPr>
      <w:r>
        <w:rPr>
          <w:rFonts w:ascii="Calibri" w:hAnsi="Calibri"/>
          <w:b/>
          <w:i w:val="0"/>
          <w:color w:val="2F6DB5"/>
          <w:sz w:val="22"/>
        </w:rPr>
        <w:t xml:space="preserve">(d) </w:t>
      </w:r>
      <w:r>
        <w:rPr>
          <w:rFonts w:ascii="Calibri" w:hAnsi="Calibri"/>
          <w:b w:val="0"/>
          <w:i w:val="0"/>
          <w:color w:val="222732"/>
          <w:sz w:val="22"/>
        </w:rPr>
        <w:t>Identify the collider in this graph and explain what goes wrong if an analyst, trying to "control for everything observable", adds it to the adjustment set {W, ...}. Name the bias.</w:t>
      </w:r>
      <w:r>
        <w:rPr>
          <w:rFonts w:ascii="Calibri" w:hAnsi="Calibri"/>
          <w:b/>
          <w:i w:val="0"/>
          <w:color w:val="E9A23B"/>
          <w:sz w:val="22"/>
        </w:rPr>
        <w:t xml:space="preserve">   [5 pts]</w:t>
      </w:r>
    </w:p>
    <w:p>
      <w:pPr>
        <w:spacing w:after="200"/>
      </w:pPr>
      <w:r>
        <w:rPr>
          <w:rFonts w:ascii="Calibri" w:hAnsi="Calibri"/>
          <w:b w:val="0"/>
          <w:i w:val="0"/>
          <w:color w:val="222732"/>
          <w:sz w:val="22"/>
        </w:rPr>
      </w:r>
    </w:p>
    <w:p>
      <w:pPr>
        <w:spacing w:before="320" w:after="80"/>
        <w:pBdr>
          <w:left w:val="single" w:sz="18" w:space="8" w:color="2F6DB5"/>
        </w:pBdr>
        <w:ind w:left="115"/>
      </w:pPr>
      <w:r>
        <w:rPr>
          <w:rFonts w:ascii="Calibri" w:hAnsi="Calibri"/>
          <w:b/>
          <w:i w:val="0"/>
          <w:color w:val="1F2A44"/>
          <w:sz w:val="32"/>
        </w:rPr>
        <w:t>Section C — Potential outcomes &amp; estimands  (16 points)</w:t>
      </w:r>
    </w:p>
    <w:p>
      <w:pPr>
        <w:spacing w:before="120" w:after="40"/>
      </w:pPr>
      <w:r>
        <w:rPr>
          <w:rFonts w:ascii="Calibri" w:hAnsi="Calibri"/>
          <w:b/>
          <w:i w:val="0"/>
          <w:color w:val="2F6DB5"/>
          <w:sz w:val="22"/>
        </w:rPr>
        <w:t xml:space="preserve">4. </w:t>
      </w:r>
      <w:r>
        <w:rPr>
          <w:rFonts w:ascii="Calibri" w:hAnsi="Calibri"/>
          <w:b/>
          <w:i w:val="0"/>
          <w:color w:val="222732"/>
          <w:sz w:val="22"/>
        </w:rPr>
        <w:t>Estimands and their identifying assumptions</w:t>
      </w:r>
      <w:r>
        <w:rPr>
          <w:rFonts w:ascii="Calibri" w:hAnsi="Calibri"/>
          <w:b/>
          <w:i w:val="0"/>
          <w:color w:val="E9A23B"/>
          <w:sz w:val="22"/>
        </w:rPr>
        <w:t xml:space="preserve">   [16 pts]</w:t>
      </w:r>
    </w:p>
    <w:p>
      <w:pPr>
        <w:spacing w:after="120"/>
      </w:pPr>
      <w:r>
        <w:rPr>
          <w:rFonts w:ascii="Calibri" w:hAnsi="Calibri"/>
          <w:b w:val="0"/>
          <w:i w:val="0"/>
          <w:color w:val="222732"/>
          <w:sz w:val="22"/>
        </w:rPr>
        <w:t>A city offers an optional after-school tutoring program to 8th graders. The district wants to know its effect on a standardized math score Y. Let T = 1 if a student enrolls. Potential outcomes are Y(1) and Y(0).</w:t>
      </w:r>
    </w:p>
    <w:p>
      <w:pPr>
        <w:spacing w:after="60"/>
      </w:pPr>
      <w:r>
        <w:rPr>
          <w:rFonts w:ascii="Calibri" w:hAnsi="Calibri"/>
          <w:b/>
          <w:i w:val="0"/>
          <w:color w:val="2F6DB5"/>
          <w:sz w:val="22"/>
        </w:rPr>
        <w:t xml:space="preserve">(a) </w:t>
      </w:r>
      <w:r>
        <w:rPr>
          <w:rFonts w:ascii="Calibri" w:hAnsi="Calibri"/>
          <w:b w:val="0"/>
          <w:i w:val="0"/>
          <w:color w:val="222732"/>
          <w:sz w:val="22"/>
        </w:rPr>
        <w:t>Write the ATE, the ATT, and a CATE for first-generation students, each as an expectation of potential outcomes. State in one phrase the policy question each one answers.</w:t>
      </w:r>
      <w:r>
        <w:rPr>
          <w:rFonts w:ascii="Calibri" w:hAnsi="Calibri"/>
          <w:b/>
          <w:i w:val="0"/>
          <w:color w:val="E9A23B"/>
          <w:sz w:val="22"/>
        </w:rPr>
        <w:t xml:space="preserve">   [4 pts]</w:t>
      </w:r>
    </w:p>
    <w:p>
      <w:pPr>
        <w:spacing w:after="200"/>
      </w:pPr>
      <w:r>
        <w:rPr>
          <w:rFonts w:ascii="Calibri" w:hAnsi="Calibri"/>
          <w:b w:val="0"/>
          <w:i w:val="0"/>
          <w:color w:val="222732"/>
          <w:sz w:val="22"/>
        </w:rPr>
      </w:r>
    </w:p>
    <w:p>
      <w:pPr>
        <w:spacing w:after="60"/>
      </w:pPr>
      <w:r>
        <w:rPr>
          <w:rFonts w:ascii="Calibri" w:hAnsi="Calibri"/>
          <w:b/>
          <w:i w:val="0"/>
          <w:color w:val="2F6DB5"/>
          <w:sz w:val="22"/>
        </w:rPr>
        <w:t xml:space="preserve">(b) </w:t>
      </w:r>
      <w:r>
        <w:rPr>
          <w:rFonts w:ascii="Calibri" w:hAnsi="Calibri"/>
          <w:b w:val="0"/>
          <w:i w:val="0"/>
          <w:color w:val="222732"/>
          <w:sz w:val="22"/>
        </w:rPr>
        <w:t>State the identifying assumptions under which the ATE is identified from observational data by adjusting for a covariate set X, and write the adjustment (g-formula / standardization) expression.</w:t>
      </w:r>
      <w:r>
        <w:rPr>
          <w:rFonts w:ascii="Calibri" w:hAnsi="Calibri"/>
          <w:b/>
          <w:i w:val="0"/>
          <w:color w:val="E9A23B"/>
          <w:sz w:val="22"/>
        </w:rPr>
        <w:t xml:space="preserve">   [5 pts]</w:t>
      </w:r>
    </w:p>
    <w:p>
      <w:pPr>
        <w:spacing w:after="200"/>
      </w:pPr>
      <w:r>
        <w:rPr>
          <w:rFonts w:ascii="Calibri" w:hAnsi="Calibri"/>
          <w:b w:val="0"/>
          <w:i w:val="0"/>
          <w:color w:val="222732"/>
          <w:sz w:val="22"/>
        </w:rPr>
      </w:r>
    </w:p>
    <w:p>
      <w:pPr>
        <w:spacing w:after="60"/>
      </w:pPr>
      <w:r>
        <w:rPr>
          <w:rFonts w:ascii="Calibri" w:hAnsi="Calibri"/>
          <w:b/>
          <w:i w:val="0"/>
          <w:color w:val="2F6DB5"/>
          <w:sz w:val="22"/>
        </w:rPr>
        <w:t xml:space="preserve">(c) </w:t>
      </w:r>
      <w:r>
        <w:rPr>
          <w:rFonts w:ascii="Calibri" w:hAnsi="Calibri"/>
          <w:b w:val="0"/>
          <w:i w:val="0"/>
          <w:color w:val="222732"/>
          <w:sz w:val="22"/>
        </w:rPr>
        <w:t>Positivity check. Suppose no first-generation student with a prior-year score below the 10th percentile ever enrolls. Which estimand is threatened, and why? What is the honest fix?</w:t>
      </w:r>
      <w:r>
        <w:rPr>
          <w:rFonts w:ascii="Calibri" w:hAnsi="Calibri"/>
          <w:b/>
          <w:i w:val="0"/>
          <w:color w:val="E9A23B"/>
          <w:sz w:val="22"/>
        </w:rPr>
        <w:t xml:space="preserve">   [4 pts]</w:t>
      </w:r>
    </w:p>
    <w:p>
      <w:pPr>
        <w:spacing w:after="200"/>
      </w:pPr>
      <w:r>
        <w:rPr>
          <w:rFonts w:ascii="Calibri" w:hAnsi="Calibri"/>
          <w:b w:val="0"/>
          <w:i w:val="0"/>
          <w:color w:val="222732"/>
          <w:sz w:val="22"/>
        </w:rPr>
      </w:r>
    </w:p>
    <w:p>
      <w:pPr>
        <w:spacing w:after="60"/>
      </w:pPr>
      <w:r>
        <w:rPr>
          <w:rFonts w:ascii="Calibri" w:hAnsi="Calibri"/>
          <w:b/>
          <w:i w:val="0"/>
          <w:color w:val="2F6DB5"/>
          <w:sz w:val="22"/>
        </w:rPr>
        <w:t xml:space="preserve">(d) </w:t>
      </w:r>
      <w:r>
        <w:rPr>
          <w:rFonts w:ascii="Calibri" w:hAnsi="Calibri"/>
          <w:b w:val="0"/>
          <w:i w:val="0"/>
          <w:color w:val="222732"/>
          <w:sz w:val="22"/>
        </w:rPr>
        <w:t>SUTVA. Give one concrete, plausible way SUTVA could fail in THIS tutoring example, and say which part of SUTVA it violates.</w:t>
      </w:r>
      <w:r>
        <w:rPr>
          <w:rFonts w:ascii="Calibri" w:hAnsi="Calibri"/>
          <w:b/>
          <w:i w:val="0"/>
          <w:color w:val="E9A23B"/>
          <w:sz w:val="22"/>
        </w:rPr>
        <w:t xml:space="preserve">   [3 pts]</w:t>
      </w:r>
    </w:p>
    <w:p>
      <w:pPr>
        <w:spacing w:after="200"/>
      </w:pPr>
      <w:r>
        <w:rPr>
          <w:rFonts w:ascii="Calibri" w:hAnsi="Calibri"/>
          <w:b w:val="0"/>
          <w:i w:val="0"/>
          <w:color w:val="222732"/>
          <w:sz w:val="22"/>
        </w:rPr>
      </w:r>
    </w:p>
    <w:p>
      <w:pPr>
        <w:spacing w:before="320" w:after="80"/>
        <w:pBdr>
          <w:left w:val="single" w:sz="18" w:space="8" w:color="2F6DB5"/>
        </w:pBdr>
        <w:ind w:left="115"/>
      </w:pPr>
      <w:r>
        <w:rPr>
          <w:rFonts w:ascii="Calibri" w:hAnsi="Calibri"/>
          <w:b/>
          <w:i w:val="0"/>
          <w:color w:val="1F2A44"/>
          <w:sz w:val="32"/>
        </w:rPr>
        <w:t>Section D — Randomized experiments &amp; A/B testing  (16 points)</w:t>
      </w:r>
    </w:p>
    <w:p>
      <w:pPr>
        <w:spacing w:before="120" w:after="40"/>
      </w:pPr>
      <w:r>
        <w:rPr>
          <w:rFonts w:ascii="Calibri" w:hAnsi="Calibri"/>
          <w:b/>
          <w:i w:val="0"/>
          <w:color w:val="2F6DB5"/>
          <w:sz w:val="22"/>
        </w:rPr>
        <w:t xml:space="preserve">5. </w:t>
      </w:r>
      <w:r>
        <w:rPr>
          <w:rFonts w:ascii="Calibri" w:hAnsi="Calibri"/>
          <w:b/>
          <w:i w:val="0"/>
          <w:color w:val="222732"/>
          <w:sz w:val="22"/>
        </w:rPr>
        <w:t>A/B test: power/MDE, variance reduction, and ITT</w:t>
      </w:r>
      <w:r>
        <w:rPr>
          <w:rFonts w:ascii="Calibri" w:hAnsi="Calibri"/>
          <w:b/>
          <w:i w:val="0"/>
          <w:color w:val="E9A23B"/>
          <w:sz w:val="22"/>
        </w:rPr>
        <w:t xml:space="preserve">   [16 pts]</w:t>
      </w:r>
    </w:p>
    <w:p>
      <w:pPr>
        <w:spacing w:after="120"/>
      </w:pPr>
      <w:r>
        <w:rPr>
          <w:rFonts w:ascii="Calibri" w:hAnsi="Calibri"/>
          <w:b w:val="0"/>
          <w:i w:val="0"/>
          <w:color w:val="222732"/>
          <w:sz w:val="22"/>
        </w:rPr>
        <w:t>A product team runs a 50/50 A/B test of a checkout redesign. The outcome is revenue per visitor. They will need power for the analysis below.</w:t>
      </w:r>
    </w:p>
    <w:p>
      <w:pPr>
        <w:spacing w:after="60"/>
      </w:pPr>
      <w:r>
        <w:rPr>
          <w:rFonts w:ascii="Calibri" w:hAnsi="Calibri"/>
          <w:b/>
          <w:i w:val="0"/>
          <w:color w:val="2F6DB5"/>
          <w:sz w:val="22"/>
        </w:rPr>
        <w:t xml:space="preserve">(a) </w:t>
      </w:r>
      <w:r>
        <w:rPr>
          <w:rFonts w:ascii="Calibri" w:hAnsi="Calibri"/>
          <w:b w:val="0"/>
          <w:i w:val="0"/>
          <w:color w:val="222732"/>
          <w:sz w:val="22"/>
        </w:rPr>
        <w:t>For a two-sided test at level α with power 1 − β, comparing two equal-sized groups of n each, the minimum detectable effect (MDE) on the difference in means is approximately</w:t>
      </w:r>
      <w:r>
        <w:rPr>
          <w:rFonts w:ascii="Calibri" w:hAnsi="Calibri"/>
          <w:b/>
          <w:i w:val="0"/>
          <w:color w:val="E9A23B"/>
          <w:sz w:val="22"/>
        </w:rPr>
        <w:t xml:space="preserve">   [5 pts]</w:t>
      </w:r>
    </w:p>
    <w:p>
      <w:pPr>
        <w:spacing w:after="60"/>
      </w:pPr>
      <w:r>
        <w:rPr>
          <w:rFonts w:ascii="Consolas" w:hAnsi="Consolas"/>
          <w:b w:val="0"/>
          <w:i w:val="0"/>
          <w:color w:val="222732"/>
          <w:sz w:val="20"/>
        </w:rPr>
        <w:t xml:space="preserve">    MDE ≈ (z_{1−α/2} + z_{1−β}) · σ · √(2 / n).</w:t>
      </w:r>
    </w:p>
    <w:p>
      <w:pPr>
        <w:spacing w:after="60"/>
      </w:pPr>
      <w:r>
        <w:rPr>
          <w:rFonts w:ascii="Calibri" w:hAnsi="Calibri"/>
          <w:b w:val="0"/>
          <w:i w:val="0"/>
          <w:color w:val="222732"/>
          <w:sz w:val="22"/>
        </w:rPr>
        <w:t>Using z_{0.975} = 1.96 and z_{0.80} = 0.84, by what factor must n increase to detect an effect HALF as large, holding α, β, σ fixed? Show the reasoning.</w:t>
      </w:r>
    </w:p>
    <w:p>
      <w:pPr>
        <w:spacing w:after="200"/>
      </w:pPr>
      <w:r>
        <w:rPr>
          <w:rFonts w:ascii="Calibri" w:hAnsi="Calibri"/>
          <w:b w:val="0"/>
          <w:i w:val="0"/>
          <w:color w:val="222732"/>
          <w:sz w:val="22"/>
        </w:rPr>
      </w:r>
    </w:p>
    <w:p>
      <w:pPr>
        <w:spacing w:after="60"/>
      </w:pPr>
      <w:r>
        <w:rPr>
          <w:rFonts w:ascii="Calibri" w:hAnsi="Calibri"/>
          <w:b/>
          <w:i w:val="0"/>
          <w:color w:val="2F6DB5"/>
          <w:sz w:val="22"/>
        </w:rPr>
        <w:t xml:space="preserve">(b) </w:t>
      </w:r>
      <w:r>
        <w:rPr>
          <w:rFonts w:ascii="Calibri" w:hAnsi="Calibri"/>
          <w:b w:val="0"/>
          <w:i w:val="0"/>
          <w:color w:val="222732"/>
          <w:sz w:val="22"/>
        </w:rPr>
        <w:t>CUPED. The team has each visitor's PRE-experiment spend, which correlates ρ = 0.6 with the outcome. CUPED adjusts the outcome using this covariate. By what factor does the variance of the estimated effect shrink, and hence by what factor can the required sample size shrink for the same power? (Var reduction factor = 1 − ρ².)</w:t>
      </w:r>
      <w:r>
        <w:rPr>
          <w:rFonts w:ascii="Calibri" w:hAnsi="Calibri"/>
          <w:b/>
          <w:i w:val="0"/>
          <w:color w:val="E9A23B"/>
          <w:sz w:val="22"/>
        </w:rPr>
        <w:t xml:space="preserve">   [5 pts]</w:t>
      </w:r>
    </w:p>
    <w:p>
      <w:pPr>
        <w:spacing w:after="200"/>
      </w:pPr>
      <w:r>
        <w:rPr>
          <w:rFonts w:ascii="Calibri" w:hAnsi="Calibri"/>
          <w:b w:val="0"/>
          <w:i w:val="0"/>
          <w:color w:val="222732"/>
          <w:sz w:val="22"/>
        </w:rPr>
      </w:r>
    </w:p>
    <w:p>
      <w:pPr>
        <w:spacing w:after="60"/>
      </w:pPr>
      <w:r>
        <w:rPr>
          <w:rFonts w:ascii="Calibri" w:hAnsi="Calibri"/>
          <w:b/>
          <w:i w:val="0"/>
          <w:color w:val="2F6DB5"/>
          <w:sz w:val="22"/>
        </w:rPr>
        <w:t xml:space="preserve">(c) </w:t>
      </w:r>
      <w:r>
        <w:rPr>
          <w:rFonts w:ascii="Calibri" w:hAnsi="Calibri"/>
          <w:b w:val="0"/>
          <w:i w:val="0"/>
          <w:color w:val="222732"/>
          <w:sz w:val="22"/>
        </w:rPr>
        <w:t>Noncompliance. 20% of visitors assigned to the new checkout fall back to the old one (the assignment did not 'take'); the control group all see the old one. Define the ITT and the per-protocol estimates here, say which one randomization protects, and explain the direction of bias if the fallback visitors are systematically different (e.g., mobile users on poor connections).</w:t>
      </w:r>
      <w:r>
        <w:rPr>
          <w:rFonts w:ascii="Calibri" w:hAnsi="Calibri"/>
          <w:b/>
          <w:i w:val="0"/>
          <w:color w:val="E9A23B"/>
          <w:sz w:val="22"/>
        </w:rPr>
        <w:t xml:space="preserve">   [6 pts]</w:t>
      </w:r>
    </w:p>
    <w:p>
      <w:pPr>
        <w:spacing w:after="200"/>
      </w:pPr>
      <w:r>
        <w:rPr>
          <w:rFonts w:ascii="Calibri" w:hAnsi="Calibri"/>
          <w:b w:val="0"/>
          <w:i w:val="0"/>
          <w:color w:val="222732"/>
          <w:sz w:val="22"/>
        </w:rPr>
      </w:r>
    </w:p>
    <w:p>
      <w:pPr>
        <w:spacing w:before="320" w:after="80"/>
        <w:pBdr>
          <w:left w:val="single" w:sz="18" w:space="8" w:color="2F6DB5"/>
        </w:pBdr>
        <w:ind w:left="115"/>
      </w:pPr>
      <w:r>
        <w:rPr>
          <w:rFonts w:ascii="Calibri" w:hAnsi="Calibri"/>
          <w:b/>
          <w:i w:val="0"/>
          <w:color w:val="1F2A44"/>
          <w:sz w:val="32"/>
        </w:rPr>
        <w:t>Section E — Regression &amp; adjustment  (14 points)</w:t>
      </w:r>
    </w:p>
    <w:p>
      <w:pPr>
        <w:spacing w:before="120" w:after="40"/>
      </w:pPr>
      <w:r>
        <w:rPr>
          <w:rFonts w:ascii="Calibri" w:hAnsi="Calibri"/>
          <w:b/>
          <w:i w:val="0"/>
          <w:color w:val="2F6DB5"/>
          <w:sz w:val="22"/>
        </w:rPr>
        <w:t xml:space="preserve">6. </w:t>
      </w:r>
      <w:r>
        <w:rPr>
          <w:rFonts w:ascii="Calibri" w:hAnsi="Calibri"/>
          <w:b/>
          <w:i w:val="0"/>
          <w:color w:val="222732"/>
          <w:sz w:val="22"/>
        </w:rPr>
        <w:t>Choosing controls and the Table 2 fallacy</w:t>
      </w:r>
      <w:r>
        <w:rPr>
          <w:rFonts w:ascii="Calibri" w:hAnsi="Calibri"/>
          <w:b/>
          <w:i w:val="0"/>
          <w:color w:val="E9A23B"/>
          <w:sz w:val="22"/>
        </w:rPr>
        <w:t xml:space="preserve">   [14 pts]</w:t>
      </w:r>
    </w:p>
    <w:p>
      <w:pPr>
        <w:spacing w:after="120"/>
      </w:pPr>
      <w:r>
        <w:rPr>
          <w:rFonts w:ascii="Calibri" w:hAnsi="Calibri"/>
          <w:b w:val="0"/>
          <w:i w:val="0"/>
          <w:color w:val="222732"/>
          <w:sz w:val="22"/>
        </w:rPr>
        <w:t>A researcher regresses an outcome Y on a treatment T and wants to decide which of several variables to include as controls. Using the SAME DAG as Question 3 (W → T, W → Y, T → M → Y, T → Y, Y → H, M → H), classify each candidate.</w:t>
      </w:r>
    </w:p>
    <w:p>
      <w:pPr>
        <w:spacing w:after="40"/>
      </w:pPr>
      <w:r>
        <w:rPr>
          <w:rFonts w:ascii="Calibri" w:hAnsi="Calibri"/>
          <w:b w:val="0"/>
          <w:i/>
          <w:color w:val="7F8694"/>
          <w:sz w:val="22"/>
        </w:rPr>
        <w:t>Candidate controls (total effect of T on Y is the target)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2A44"/>
          </w:tcPr>
          <w:p>
            <w:r>
              <w:rPr>
                <w:rFonts w:ascii="Calibri" w:hAnsi="Calibri"/>
                <w:b/>
                <w:i w:val="0"/>
                <w:color w:val="FFFFFF"/>
                <w:sz w:val="21"/>
              </w:rPr>
              <w:t>Variable</w:t>
            </w:r>
          </w:p>
        </w:tc>
        <w:tc>
          <w:tcPr>
            <w:tcW w:type="dxa" w:w="3216"/>
            <w:shd w:val="clear" w:color="auto" w:fill="1F2A44"/>
          </w:tcPr>
          <w:p>
            <w:r>
              <w:rPr>
                <w:rFonts w:ascii="Calibri" w:hAnsi="Calibri"/>
                <w:b/>
                <w:i w:val="0"/>
                <w:color w:val="FFFFFF"/>
                <w:sz w:val="21"/>
              </w:rPr>
              <w:t>Role w.r.t. T → Y</w:t>
            </w:r>
          </w:p>
        </w:tc>
        <w:tc>
          <w:tcPr>
            <w:tcW w:type="dxa" w:w="3216"/>
            <w:shd w:val="clear" w:color="auto" w:fill="1F2A44"/>
          </w:tcPr>
          <w:p>
            <w:r>
              <w:rPr>
                <w:rFonts w:ascii="Calibri" w:hAnsi="Calibri"/>
                <w:b/>
                <w:i w:val="0"/>
                <w:color w:val="FFFFFF"/>
                <w:sz w:val="21"/>
              </w:rPr>
              <w:t>Include for the total effect?</w:t>
            </w:r>
          </w:p>
        </w:tc>
      </w:tr>
      <w:tr>
        <w:tc>
          <w:tcPr>
            <w:tcW w:type="dxa" w:w="3216"/>
          </w:tcPr>
          <w:p>
            <w:r>
              <w:rPr>
                <w:rFonts w:ascii="Calibri" w:hAnsi="Calibri"/>
                <w:b w:val="0"/>
                <w:i w:val="0"/>
                <w:color w:val="222732"/>
                <w:sz w:val="21"/>
              </w:rPr>
              <w:t>W (work history)</w:t>
            </w:r>
          </w:p>
        </w:tc>
        <w:tc>
          <w:tcPr>
            <w:tcW w:type="dxa" w:w="3216"/>
          </w:tcPr>
          <w:p>
            <w:r>
              <w:rPr>
                <w:rFonts w:ascii="Calibri" w:hAnsi="Calibri"/>
                <w:b w:val="0"/>
                <w:i w:val="0"/>
                <w:color w:val="222732"/>
                <w:sz w:val="21"/>
              </w:rPr>
              <w:t>Confounder (common cause of T and Y)</w:t>
            </w:r>
          </w:p>
        </w:tc>
        <w:tc>
          <w:tcPr>
            <w:tcW w:type="dxa" w:w="3216"/>
          </w:tcPr>
          <w:p>
            <w:r>
              <w:rPr>
                <w:rFonts w:ascii="Calibri" w:hAnsi="Calibri"/>
                <w:b w:val="0"/>
                <w:i w:val="0"/>
                <w:color w:val="222732"/>
                <w:sz w:val="21"/>
              </w:rPr>
              <w:t>Yes — adjusting removes back-door bias</w:t>
            </w:r>
          </w:p>
        </w:tc>
      </w:tr>
      <w:tr>
        <w:tc>
          <w:tcPr>
            <w:tcW w:type="dxa" w:w="3216"/>
            <w:shd w:val="clear" w:color="auto" w:fill="ECEEF2"/>
          </w:tcPr>
          <w:p>
            <w:r>
              <w:rPr>
                <w:rFonts w:ascii="Calibri" w:hAnsi="Calibri"/>
                <w:b w:val="0"/>
                <w:i w:val="0"/>
                <w:color w:val="222732"/>
                <w:sz w:val="21"/>
              </w:rPr>
              <w:t>M (skills gained)</w:t>
            </w:r>
          </w:p>
        </w:tc>
        <w:tc>
          <w:tcPr>
            <w:tcW w:type="dxa" w:w="3216"/>
            <w:shd w:val="clear" w:color="auto" w:fill="ECEEF2"/>
          </w:tcPr>
          <w:p>
            <w:r>
              <w:rPr>
                <w:rFonts w:ascii="Calibri" w:hAnsi="Calibri"/>
                <w:b w:val="0"/>
                <w:i w:val="0"/>
                <w:color w:val="222732"/>
                <w:sz w:val="21"/>
              </w:rPr>
              <w:t>Mediator (on the causal path T→M→Y)</w:t>
            </w:r>
          </w:p>
        </w:tc>
        <w:tc>
          <w:tcPr>
            <w:tcW w:type="dxa" w:w="3216"/>
            <w:shd w:val="clear" w:color="auto" w:fill="ECEEF2"/>
          </w:tcPr>
          <w:p>
            <w:r>
              <w:rPr>
                <w:rFonts w:ascii="Calibri" w:hAnsi="Calibri"/>
                <w:b w:val="0"/>
                <w:i w:val="0"/>
                <w:color w:val="222732"/>
                <w:sz w:val="21"/>
              </w:rPr>
              <w:t>No — blocks part of the total effect (over-control)</w:t>
            </w:r>
          </w:p>
        </w:tc>
      </w:tr>
      <w:tr>
        <w:tc>
          <w:tcPr>
            <w:tcW w:type="dxa" w:w="3216"/>
          </w:tcPr>
          <w:p>
            <w:r>
              <w:rPr>
                <w:rFonts w:ascii="Calibri" w:hAnsi="Calibri"/>
                <w:b w:val="0"/>
                <w:i w:val="0"/>
                <w:color w:val="222732"/>
                <w:sz w:val="21"/>
              </w:rPr>
              <w:t>H (exam score)</w:t>
            </w:r>
          </w:p>
        </w:tc>
        <w:tc>
          <w:tcPr>
            <w:tcW w:type="dxa" w:w="3216"/>
          </w:tcPr>
          <w:p>
            <w:r>
              <w:rPr>
                <w:rFonts w:ascii="Calibri" w:hAnsi="Calibri"/>
                <w:b w:val="0"/>
                <w:i w:val="0"/>
                <w:color w:val="222732"/>
                <w:sz w:val="21"/>
              </w:rPr>
              <w:t>Collider / descendant of Y and M</w:t>
            </w:r>
          </w:p>
        </w:tc>
        <w:tc>
          <w:tcPr>
            <w:tcW w:type="dxa" w:w="3216"/>
          </w:tcPr>
          <w:p>
            <w:r>
              <w:rPr>
                <w:rFonts w:ascii="Calibri" w:hAnsi="Calibri"/>
                <w:b w:val="0"/>
                <w:i w:val="0"/>
                <w:color w:val="222732"/>
                <w:sz w:val="21"/>
              </w:rPr>
              <w:t>No — opens a path and induces selection bias</w:t>
            </w:r>
          </w:p>
        </w:tc>
      </w:tr>
      <w:tr>
        <w:tc>
          <w:tcPr>
            <w:tcW w:type="dxa" w:w="3216"/>
            <w:shd w:val="clear" w:color="auto" w:fill="ECEEF2"/>
          </w:tcPr>
          <w:p>
            <w:r>
              <w:rPr>
                <w:rFonts w:ascii="Calibri" w:hAnsi="Calibri"/>
                <w:b w:val="0"/>
                <w:i w:val="0"/>
                <w:color w:val="222732"/>
                <w:sz w:val="21"/>
              </w:rPr>
              <w:t>Z (a pre-T variable affecting only Y)</w:t>
            </w:r>
          </w:p>
        </w:tc>
        <w:tc>
          <w:tcPr>
            <w:tcW w:type="dxa" w:w="3216"/>
            <w:shd w:val="clear" w:color="auto" w:fill="ECEEF2"/>
          </w:tcPr>
          <w:p>
            <w:r>
              <w:rPr>
                <w:rFonts w:ascii="Calibri" w:hAnsi="Calibri"/>
                <w:b w:val="0"/>
                <w:i w:val="0"/>
                <w:color w:val="222732"/>
                <w:sz w:val="21"/>
              </w:rPr>
              <w:t>Neutral / precision covariate (predicts Y, not T)</w:t>
            </w:r>
          </w:p>
        </w:tc>
        <w:tc>
          <w:tcPr>
            <w:tcW w:type="dxa" w:w="3216"/>
            <w:shd w:val="clear" w:color="auto" w:fill="ECEEF2"/>
          </w:tcPr>
          <w:p>
            <w:r>
              <w:rPr>
                <w:rFonts w:ascii="Calibri" w:hAnsi="Calibri"/>
                <w:b w:val="0"/>
                <w:i w:val="0"/>
                <w:color w:val="222732"/>
                <w:sz w:val="21"/>
              </w:rPr>
              <w:t>Optional — harmless, often improves precision</w:t>
            </w:r>
          </w:p>
        </w:tc>
      </w:tr>
    </w:tbl>
    <w:p>
      <w:pPr>
        <w:spacing w:after="40"/>
      </w:pPr>
    </w:p>
    <w:p>
      <w:pPr>
        <w:spacing w:after="60"/>
      </w:pPr>
      <w:r>
        <w:rPr>
          <w:rFonts w:ascii="Calibri" w:hAnsi="Calibri"/>
          <w:b/>
          <w:i w:val="0"/>
          <w:color w:val="2F6DB5"/>
          <w:sz w:val="22"/>
        </w:rPr>
        <w:t xml:space="preserve">(a) </w:t>
      </w:r>
      <w:r>
        <w:rPr>
          <w:rFonts w:ascii="Calibri" w:hAnsi="Calibri"/>
          <w:b w:val="0"/>
          <w:i w:val="0"/>
          <w:color w:val="222732"/>
          <w:sz w:val="22"/>
        </w:rPr>
        <w:t>Reproduce the right-most column of the table above in your booklet (Include? Yes/No/Optional) and give a one-clause reason for each of W, M, H, Z.</w:t>
      </w:r>
      <w:r>
        <w:rPr>
          <w:rFonts w:ascii="Calibri" w:hAnsi="Calibri"/>
          <w:b/>
          <w:i w:val="0"/>
          <w:color w:val="E9A23B"/>
          <w:sz w:val="22"/>
        </w:rPr>
        <w:t xml:space="preserve">   [8 pts]</w:t>
      </w:r>
    </w:p>
    <w:p>
      <w:pPr>
        <w:spacing w:after="200"/>
      </w:pPr>
      <w:r>
        <w:rPr>
          <w:rFonts w:ascii="Calibri" w:hAnsi="Calibri"/>
          <w:b w:val="0"/>
          <w:i w:val="0"/>
          <w:color w:val="222732"/>
          <w:sz w:val="22"/>
        </w:rPr>
      </w:r>
    </w:p>
    <w:p>
      <w:pPr>
        <w:spacing w:after="60"/>
      </w:pPr>
      <w:r>
        <w:rPr>
          <w:rFonts w:ascii="Calibri" w:hAnsi="Calibri"/>
          <w:b/>
          <w:i w:val="0"/>
          <w:color w:val="2F6DB5"/>
          <w:sz w:val="22"/>
        </w:rPr>
        <w:t xml:space="preserve">(b) </w:t>
      </w:r>
      <w:r>
        <w:rPr>
          <w:rFonts w:ascii="Calibri" w:hAnsi="Calibri"/>
          <w:b w:val="0"/>
          <w:i w:val="0"/>
          <w:color w:val="222732"/>
          <w:sz w:val="22"/>
        </w:rPr>
        <w:t>State the Table 2 fallacy. The researcher's regression of Y on (T, W) reports a coefficient on W as well as on T, and the write-up interprets the W coefficient as 'the causal effect of work history.' Explain why that interpretation is unjustified even though the SAME model gives a valid estimate of the effect of T.</w:t>
      </w:r>
      <w:r>
        <w:rPr>
          <w:rFonts w:ascii="Calibri" w:hAnsi="Calibri"/>
          <w:b/>
          <w:i w:val="0"/>
          <w:color w:val="E9A23B"/>
          <w:sz w:val="22"/>
        </w:rPr>
        <w:t xml:space="preserve">   [6 pts]</w:t>
      </w:r>
    </w:p>
    <w:p>
      <w:pPr>
        <w:spacing w:after="200"/>
      </w:pPr>
      <w:r>
        <w:rPr>
          <w:rFonts w:ascii="Calibri" w:hAnsi="Calibri"/>
          <w:b w:val="0"/>
          <w:i w:val="0"/>
          <w:color w:val="222732"/>
          <w:sz w:val="22"/>
        </w:rPr>
      </w:r>
    </w:p>
    <w:p>
      <w:pPr>
        <w:spacing w:before="320" w:after="80"/>
        <w:pBdr>
          <w:left w:val="single" w:sz="18" w:space="8" w:color="2F6DB5"/>
        </w:pBdr>
        <w:ind w:left="115"/>
      </w:pPr>
      <w:r>
        <w:rPr>
          <w:rFonts w:ascii="Calibri" w:hAnsi="Calibri"/>
          <w:b/>
          <w:i w:val="0"/>
          <w:color w:val="1F2A44"/>
          <w:sz w:val="32"/>
        </w:rPr>
        <w:t>Section F — Matching, propensity scores &amp; weighting  (18 points)</w:t>
      </w:r>
    </w:p>
    <w:p>
      <w:pPr>
        <w:spacing w:before="120" w:after="40"/>
      </w:pPr>
      <w:r>
        <w:rPr>
          <w:rFonts w:ascii="Calibri" w:hAnsi="Calibri"/>
          <w:b/>
          <w:i w:val="0"/>
          <w:color w:val="2F6DB5"/>
          <w:sz w:val="22"/>
        </w:rPr>
        <w:t xml:space="preserve">7. </w:t>
      </w:r>
      <w:r>
        <w:rPr>
          <w:rFonts w:ascii="Calibri" w:hAnsi="Calibri"/>
          <w:b/>
          <w:i w:val="0"/>
          <w:color w:val="222732"/>
          <w:sz w:val="22"/>
        </w:rPr>
        <w:t>Propensity scores: the balancing property and overlap</w:t>
      </w:r>
      <w:r>
        <w:rPr>
          <w:rFonts w:ascii="Calibri" w:hAnsi="Calibri"/>
          <w:b/>
          <w:i w:val="0"/>
          <w:color w:val="E9A23B"/>
          <w:sz w:val="22"/>
        </w:rPr>
        <w:t xml:space="preserve">   [10 pts]</w:t>
      </w:r>
    </w:p>
    <w:p>
      <w:pPr>
        <w:spacing w:after="60"/>
      </w:pPr>
      <w:r>
        <w:rPr>
          <w:rFonts w:ascii="Calibri" w:hAnsi="Calibri"/>
          <w:b/>
          <w:i w:val="0"/>
          <w:color w:val="2F6DB5"/>
          <w:sz w:val="22"/>
        </w:rPr>
        <w:t xml:space="preserve">(a) </w:t>
      </w:r>
      <w:r>
        <w:rPr>
          <w:rFonts w:ascii="Calibri" w:hAnsi="Calibri"/>
          <w:b w:val="0"/>
          <w:i w:val="0"/>
          <w:color w:val="222732"/>
          <w:sz w:val="22"/>
        </w:rPr>
        <w:t>State the balancing property of the propensity score e(X) = P(T = 1 | X). What does it let you do that matching on the full covariate vector X does not, and why is that practically useful in high dimensions?</w:t>
      </w:r>
      <w:r>
        <w:rPr>
          <w:rFonts w:ascii="Calibri" w:hAnsi="Calibri"/>
          <w:b/>
          <w:i w:val="0"/>
          <w:color w:val="E9A23B"/>
          <w:sz w:val="22"/>
        </w:rPr>
        <w:t xml:space="preserve">   [4 pts]</w:t>
      </w:r>
    </w:p>
    <w:p>
      <w:pPr>
        <w:spacing w:after="200"/>
      </w:pPr>
      <w:r>
        <w:rPr>
          <w:rFonts w:ascii="Calibri" w:hAnsi="Calibri"/>
          <w:b w:val="0"/>
          <w:i w:val="0"/>
          <w:color w:val="222732"/>
          <w:sz w:val="22"/>
        </w:rPr>
      </w:r>
    </w:p>
    <w:p>
      <w:pPr>
        <w:spacing w:after="60"/>
      </w:pPr>
      <w:r>
        <w:rPr>
          <w:rFonts w:ascii="Calibri" w:hAnsi="Calibri"/>
          <w:b/>
          <w:i w:val="0"/>
          <w:color w:val="2F6DB5"/>
          <w:sz w:val="22"/>
        </w:rPr>
        <w:t xml:space="preserve">(b) </w:t>
      </w:r>
      <w:r>
        <w:rPr>
          <w:rFonts w:ascii="Calibri" w:hAnsi="Calibri"/>
          <w:b w:val="0"/>
          <w:i w:val="0"/>
          <w:color w:val="222732"/>
          <w:sz w:val="22"/>
        </w:rPr>
        <w:t>If, after estimating e(X), you adjust/condition on e(X) and check covariate balance, what does GOOD balance buy you, and what does it NOT buy you? (One sentence each.)</w:t>
      </w:r>
      <w:r>
        <w:rPr>
          <w:rFonts w:ascii="Calibri" w:hAnsi="Calibri"/>
          <w:b/>
          <w:i w:val="0"/>
          <w:color w:val="E9A23B"/>
          <w:sz w:val="22"/>
        </w:rPr>
        <w:t xml:space="preserve">   [3 pts]</w:t>
      </w:r>
    </w:p>
    <w:p>
      <w:pPr>
        <w:spacing w:after="200"/>
      </w:pPr>
      <w:r>
        <w:rPr>
          <w:rFonts w:ascii="Calibri" w:hAnsi="Calibri"/>
          <w:b w:val="0"/>
          <w:i w:val="0"/>
          <w:color w:val="222732"/>
          <w:sz w:val="22"/>
        </w:rPr>
      </w:r>
    </w:p>
    <w:p>
      <w:pPr>
        <w:spacing w:after="60"/>
      </w:pPr>
      <w:r>
        <w:rPr>
          <w:rFonts w:ascii="Calibri" w:hAnsi="Calibri"/>
          <w:b/>
          <w:i w:val="0"/>
          <w:color w:val="2F6DB5"/>
          <w:sz w:val="22"/>
        </w:rPr>
        <w:t xml:space="preserve">(c) </w:t>
      </w:r>
      <w:r>
        <w:rPr>
          <w:rFonts w:ascii="Calibri" w:hAnsi="Calibri"/>
          <w:b w:val="0"/>
          <w:i w:val="0"/>
          <w:color w:val="222732"/>
          <w:sz w:val="22"/>
        </w:rPr>
        <w:t>An analyst finds that treated units have estimated propensity scores in [0.4, 0.99] while controls span [0.01, 0.6]. What estimand is well supported, and what should they do about the non-overlapping regions?</w:t>
      </w:r>
      <w:r>
        <w:rPr>
          <w:rFonts w:ascii="Calibri" w:hAnsi="Calibri"/>
          <w:b/>
          <w:i w:val="0"/>
          <w:color w:val="E9A23B"/>
          <w:sz w:val="22"/>
        </w:rPr>
        <w:t xml:space="preserve">   [3 pts]</w:t>
      </w:r>
    </w:p>
    <w:p>
      <w:pPr>
        <w:spacing w:after="200"/>
      </w:pPr>
      <w:r>
        <w:rPr>
          <w:rFonts w:ascii="Calibri" w:hAnsi="Calibri"/>
          <w:b w:val="0"/>
          <w:i w:val="0"/>
          <w:color w:val="222732"/>
          <w:sz w:val="22"/>
        </w:rPr>
      </w:r>
    </w:p>
    <w:p>
      <w:pPr>
        <w:spacing w:before="120" w:after="40"/>
      </w:pPr>
      <w:r>
        <w:rPr>
          <w:rFonts w:ascii="Calibri" w:hAnsi="Calibri"/>
          <w:b/>
          <w:i w:val="0"/>
          <w:color w:val="2F6DB5"/>
          <w:sz w:val="22"/>
        </w:rPr>
        <w:t xml:space="preserve">8. </w:t>
      </w:r>
      <w:r>
        <w:rPr>
          <w:rFonts w:ascii="Calibri" w:hAnsi="Calibri"/>
          <w:b/>
          <w:i w:val="0"/>
          <w:color w:val="222732"/>
          <w:sz w:val="22"/>
        </w:rPr>
        <w:t>Numeric: IPW by hand, and the doubly-robust idea</w:t>
      </w:r>
      <w:r>
        <w:rPr>
          <w:rFonts w:ascii="Calibri" w:hAnsi="Calibri"/>
          <w:b/>
          <w:i w:val="0"/>
          <w:color w:val="E9A23B"/>
          <w:sz w:val="22"/>
        </w:rPr>
        <w:t xml:space="preserve">   [8 pts]</w:t>
      </w:r>
    </w:p>
    <w:p>
      <w:pPr>
        <w:spacing w:after="120"/>
      </w:pPr>
      <w:r>
        <w:rPr>
          <w:rFonts w:ascii="Calibri" w:hAnsi="Calibri"/>
          <w:b w:val="0"/>
          <w:i w:val="0"/>
          <w:color w:val="222732"/>
          <w:sz w:val="22"/>
        </w:rPr>
        <w:t>Six patients are observed. T is treatment, Y the outcome, and e = P(T = 1 | X) is the (given, correctly specified) propensity score for each patient. Use the stabilized / Hájek IPW estimator: weight treated units by 1/e and controls by 1/(1 − e), then take the weighted mean outcome in each arm and subtract.</w:t>
      </w:r>
    </w:p>
    <w:p>
      <w:pPr>
        <w:spacing w:after="40"/>
      </w:pPr>
      <w:r>
        <w:rPr>
          <w:rFonts w:ascii="Calibri" w:hAnsi="Calibri"/>
          <w:b w:val="0"/>
          <w:i/>
          <w:color w:val="7F8694"/>
          <w:sz w:val="22"/>
        </w:rPr>
        <w:t>Patient-level data</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1F2A44"/>
          </w:tcPr>
          <w:p>
            <w:r>
              <w:rPr>
                <w:rFonts w:ascii="Calibri" w:hAnsi="Calibri"/>
                <w:b/>
                <w:i w:val="0"/>
                <w:color w:val="FFFFFF"/>
                <w:sz w:val="21"/>
              </w:rPr>
              <w:t>Patient</w:t>
            </w:r>
          </w:p>
        </w:tc>
        <w:tc>
          <w:tcPr>
            <w:tcW w:type="dxa" w:w="2412"/>
            <w:shd w:val="clear" w:color="auto" w:fill="1F2A44"/>
          </w:tcPr>
          <w:p>
            <w:r>
              <w:rPr>
                <w:rFonts w:ascii="Calibri" w:hAnsi="Calibri"/>
                <w:b/>
                <w:i w:val="0"/>
                <w:color w:val="FFFFFF"/>
                <w:sz w:val="21"/>
              </w:rPr>
              <w:t>T</w:t>
            </w:r>
          </w:p>
        </w:tc>
        <w:tc>
          <w:tcPr>
            <w:tcW w:type="dxa" w:w="2412"/>
            <w:shd w:val="clear" w:color="auto" w:fill="1F2A44"/>
          </w:tcPr>
          <w:p>
            <w:r>
              <w:rPr>
                <w:rFonts w:ascii="Calibri" w:hAnsi="Calibri"/>
                <w:b/>
                <w:i w:val="0"/>
                <w:color w:val="FFFFFF"/>
                <w:sz w:val="21"/>
              </w:rPr>
              <w:t>Y</w:t>
            </w:r>
          </w:p>
        </w:tc>
        <w:tc>
          <w:tcPr>
            <w:tcW w:type="dxa" w:w="2412"/>
            <w:shd w:val="clear" w:color="auto" w:fill="1F2A44"/>
          </w:tcPr>
          <w:p>
            <w:r>
              <w:rPr>
                <w:rFonts w:ascii="Calibri" w:hAnsi="Calibri"/>
                <w:b/>
                <w:i w:val="0"/>
                <w:color w:val="FFFFFF"/>
                <w:sz w:val="21"/>
              </w:rPr>
              <w:t>e = P(T=1|X)</w:t>
            </w:r>
          </w:p>
        </w:tc>
      </w:tr>
      <w:tr>
        <w:tc>
          <w:tcPr>
            <w:tcW w:type="dxa" w:w="2412"/>
          </w:tcPr>
          <w:p>
            <w:r>
              <w:rPr>
                <w:rFonts w:ascii="Calibri" w:hAnsi="Calibri"/>
                <w:b w:val="0"/>
                <w:i w:val="0"/>
                <w:color w:val="222732"/>
                <w:sz w:val="21"/>
              </w:rPr>
              <w:t>1</w:t>
            </w:r>
          </w:p>
        </w:tc>
        <w:tc>
          <w:tcPr>
            <w:tcW w:type="dxa" w:w="2412"/>
          </w:tcPr>
          <w:p>
            <w:r>
              <w:rPr>
                <w:rFonts w:ascii="Calibri" w:hAnsi="Calibri"/>
                <w:b w:val="0"/>
                <w:i w:val="0"/>
                <w:color w:val="222732"/>
                <w:sz w:val="21"/>
              </w:rPr>
              <w:t>1</w:t>
            </w:r>
          </w:p>
        </w:tc>
        <w:tc>
          <w:tcPr>
            <w:tcW w:type="dxa" w:w="2412"/>
          </w:tcPr>
          <w:p>
            <w:r>
              <w:rPr>
                <w:rFonts w:ascii="Calibri" w:hAnsi="Calibri"/>
                <w:b w:val="0"/>
                <w:i w:val="0"/>
                <w:color w:val="222732"/>
                <w:sz w:val="21"/>
              </w:rPr>
              <w:t>10</w:t>
            </w:r>
          </w:p>
        </w:tc>
        <w:tc>
          <w:tcPr>
            <w:tcW w:type="dxa" w:w="2412"/>
          </w:tcPr>
          <w:p>
            <w:r>
              <w:rPr>
                <w:rFonts w:ascii="Calibri" w:hAnsi="Calibri"/>
                <w:b w:val="0"/>
                <w:i w:val="0"/>
                <w:color w:val="222732"/>
                <w:sz w:val="21"/>
              </w:rPr>
              <w:t>0.50</w:t>
            </w:r>
          </w:p>
        </w:tc>
      </w:tr>
      <w:tr>
        <w:tc>
          <w:tcPr>
            <w:tcW w:type="dxa" w:w="2412"/>
            <w:shd w:val="clear" w:color="auto" w:fill="ECEEF2"/>
          </w:tcPr>
          <w:p>
            <w:r>
              <w:rPr>
                <w:rFonts w:ascii="Calibri" w:hAnsi="Calibri"/>
                <w:b w:val="0"/>
                <w:i w:val="0"/>
                <w:color w:val="222732"/>
                <w:sz w:val="21"/>
              </w:rPr>
              <w:t>2</w:t>
            </w:r>
          </w:p>
        </w:tc>
        <w:tc>
          <w:tcPr>
            <w:tcW w:type="dxa" w:w="2412"/>
            <w:shd w:val="clear" w:color="auto" w:fill="ECEEF2"/>
          </w:tcPr>
          <w:p>
            <w:r>
              <w:rPr>
                <w:rFonts w:ascii="Calibri" w:hAnsi="Calibri"/>
                <w:b w:val="0"/>
                <w:i w:val="0"/>
                <w:color w:val="222732"/>
                <w:sz w:val="21"/>
              </w:rPr>
              <w:t>1</w:t>
            </w:r>
          </w:p>
        </w:tc>
        <w:tc>
          <w:tcPr>
            <w:tcW w:type="dxa" w:w="2412"/>
            <w:shd w:val="clear" w:color="auto" w:fill="ECEEF2"/>
          </w:tcPr>
          <w:p>
            <w:r>
              <w:rPr>
                <w:rFonts w:ascii="Calibri" w:hAnsi="Calibri"/>
                <w:b w:val="0"/>
                <w:i w:val="0"/>
                <w:color w:val="222732"/>
                <w:sz w:val="21"/>
              </w:rPr>
              <w:t>14</w:t>
            </w:r>
          </w:p>
        </w:tc>
        <w:tc>
          <w:tcPr>
            <w:tcW w:type="dxa" w:w="2412"/>
            <w:shd w:val="clear" w:color="auto" w:fill="ECEEF2"/>
          </w:tcPr>
          <w:p>
            <w:r>
              <w:rPr>
                <w:rFonts w:ascii="Calibri" w:hAnsi="Calibri"/>
                <w:b w:val="0"/>
                <w:i w:val="0"/>
                <w:color w:val="222732"/>
                <w:sz w:val="21"/>
              </w:rPr>
              <w:t>0.25</w:t>
            </w:r>
          </w:p>
        </w:tc>
      </w:tr>
      <w:tr>
        <w:tc>
          <w:tcPr>
            <w:tcW w:type="dxa" w:w="2412"/>
          </w:tcPr>
          <w:p>
            <w:r>
              <w:rPr>
                <w:rFonts w:ascii="Calibri" w:hAnsi="Calibri"/>
                <w:b w:val="0"/>
                <w:i w:val="0"/>
                <w:color w:val="222732"/>
                <w:sz w:val="21"/>
              </w:rPr>
              <w:t>3</w:t>
            </w:r>
          </w:p>
        </w:tc>
        <w:tc>
          <w:tcPr>
            <w:tcW w:type="dxa" w:w="2412"/>
          </w:tcPr>
          <w:p>
            <w:r>
              <w:rPr>
                <w:rFonts w:ascii="Calibri" w:hAnsi="Calibri"/>
                <w:b w:val="0"/>
                <w:i w:val="0"/>
                <w:color w:val="222732"/>
                <w:sz w:val="21"/>
              </w:rPr>
              <w:t>1</w:t>
            </w:r>
          </w:p>
        </w:tc>
        <w:tc>
          <w:tcPr>
            <w:tcW w:type="dxa" w:w="2412"/>
          </w:tcPr>
          <w:p>
            <w:r>
              <w:rPr>
                <w:rFonts w:ascii="Calibri" w:hAnsi="Calibri"/>
                <w:b w:val="0"/>
                <w:i w:val="0"/>
                <w:color w:val="222732"/>
                <w:sz w:val="21"/>
              </w:rPr>
              <w:t>8</w:t>
            </w:r>
          </w:p>
        </w:tc>
        <w:tc>
          <w:tcPr>
            <w:tcW w:type="dxa" w:w="2412"/>
          </w:tcPr>
          <w:p>
            <w:r>
              <w:rPr>
                <w:rFonts w:ascii="Calibri" w:hAnsi="Calibri"/>
                <w:b w:val="0"/>
                <w:i w:val="0"/>
                <w:color w:val="222732"/>
                <w:sz w:val="21"/>
              </w:rPr>
              <w:t>0.50</w:t>
            </w:r>
          </w:p>
        </w:tc>
      </w:tr>
      <w:tr>
        <w:tc>
          <w:tcPr>
            <w:tcW w:type="dxa" w:w="2412"/>
            <w:shd w:val="clear" w:color="auto" w:fill="ECEEF2"/>
          </w:tcPr>
          <w:p>
            <w:r>
              <w:rPr>
                <w:rFonts w:ascii="Calibri" w:hAnsi="Calibri"/>
                <w:b w:val="0"/>
                <w:i w:val="0"/>
                <w:color w:val="222732"/>
                <w:sz w:val="21"/>
              </w:rPr>
              <w:t>4</w:t>
            </w:r>
          </w:p>
        </w:tc>
        <w:tc>
          <w:tcPr>
            <w:tcW w:type="dxa" w:w="2412"/>
            <w:shd w:val="clear" w:color="auto" w:fill="ECEEF2"/>
          </w:tcPr>
          <w:p>
            <w:r>
              <w:rPr>
                <w:rFonts w:ascii="Calibri" w:hAnsi="Calibri"/>
                <w:b w:val="0"/>
                <w:i w:val="0"/>
                <w:color w:val="222732"/>
                <w:sz w:val="21"/>
              </w:rPr>
              <w:t>0</w:t>
            </w:r>
          </w:p>
        </w:tc>
        <w:tc>
          <w:tcPr>
            <w:tcW w:type="dxa" w:w="2412"/>
            <w:shd w:val="clear" w:color="auto" w:fill="ECEEF2"/>
          </w:tcPr>
          <w:p>
            <w:r>
              <w:rPr>
                <w:rFonts w:ascii="Calibri" w:hAnsi="Calibri"/>
                <w:b w:val="0"/>
                <w:i w:val="0"/>
                <w:color w:val="222732"/>
                <w:sz w:val="21"/>
              </w:rPr>
              <w:t>6</w:t>
            </w:r>
          </w:p>
        </w:tc>
        <w:tc>
          <w:tcPr>
            <w:tcW w:type="dxa" w:w="2412"/>
            <w:shd w:val="clear" w:color="auto" w:fill="ECEEF2"/>
          </w:tcPr>
          <w:p>
            <w:r>
              <w:rPr>
                <w:rFonts w:ascii="Calibri" w:hAnsi="Calibri"/>
                <w:b w:val="0"/>
                <w:i w:val="0"/>
                <w:color w:val="222732"/>
                <w:sz w:val="21"/>
              </w:rPr>
              <w:t>0.50</w:t>
            </w:r>
          </w:p>
        </w:tc>
      </w:tr>
      <w:tr>
        <w:tc>
          <w:tcPr>
            <w:tcW w:type="dxa" w:w="2412"/>
          </w:tcPr>
          <w:p>
            <w:r>
              <w:rPr>
                <w:rFonts w:ascii="Calibri" w:hAnsi="Calibri"/>
                <w:b w:val="0"/>
                <w:i w:val="0"/>
                <w:color w:val="222732"/>
                <w:sz w:val="21"/>
              </w:rPr>
              <w:t>5</w:t>
            </w:r>
          </w:p>
        </w:tc>
        <w:tc>
          <w:tcPr>
            <w:tcW w:type="dxa" w:w="2412"/>
          </w:tcPr>
          <w:p>
            <w:r>
              <w:rPr>
                <w:rFonts w:ascii="Calibri" w:hAnsi="Calibri"/>
                <w:b w:val="0"/>
                <w:i w:val="0"/>
                <w:color w:val="222732"/>
                <w:sz w:val="21"/>
              </w:rPr>
              <w:t>0</w:t>
            </w:r>
          </w:p>
        </w:tc>
        <w:tc>
          <w:tcPr>
            <w:tcW w:type="dxa" w:w="2412"/>
          </w:tcPr>
          <w:p>
            <w:r>
              <w:rPr>
                <w:rFonts w:ascii="Calibri" w:hAnsi="Calibri"/>
                <w:b w:val="0"/>
                <w:i w:val="0"/>
                <w:color w:val="222732"/>
                <w:sz w:val="21"/>
              </w:rPr>
              <w:t>4</w:t>
            </w:r>
          </w:p>
        </w:tc>
        <w:tc>
          <w:tcPr>
            <w:tcW w:type="dxa" w:w="2412"/>
          </w:tcPr>
          <w:p>
            <w:r>
              <w:rPr>
                <w:rFonts w:ascii="Calibri" w:hAnsi="Calibri"/>
                <w:b w:val="0"/>
                <w:i w:val="0"/>
                <w:color w:val="222732"/>
                <w:sz w:val="21"/>
              </w:rPr>
              <w:t>0.75</w:t>
            </w:r>
          </w:p>
        </w:tc>
      </w:tr>
      <w:tr>
        <w:tc>
          <w:tcPr>
            <w:tcW w:type="dxa" w:w="2412"/>
            <w:shd w:val="clear" w:color="auto" w:fill="ECEEF2"/>
          </w:tcPr>
          <w:p>
            <w:r>
              <w:rPr>
                <w:rFonts w:ascii="Calibri" w:hAnsi="Calibri"/>
                <w:b w:val="0"/>
                <w:i w:val="0"/>
                <w:color w:val="222732"/>
                <w:sz w:val="21"/>
              </w:rPr>
              <w:t>6</w:t>
            </w:r>
          </w:p>
        </w:tc>
        <w:tc>
          <w:tcPr>
            <w:tcW w:type="dxa" w:w="2412"/>
            <w:shd w:val="clear" w:color="auto" w:fill="ECEEF2"/>
          </w:tcPr>
          <w:p>
            <w:r>
              <w:rPr>
                <w:rFonts w:ascii="Calibri" w:hAnsi="Calibri"/>
                <w:b w:val="0"/>
                <w:i w:val="0"/>
                <w:color w:val="222732"/>
                <w:sz w:val="21"/>
              </w:rPr>
              <w:t>0</w:t>
            </w:r>
          </w:p>
        </w:tc>
        <w:tc>
          <w:tcPr>
            <w:tcW w:type="dxa" w:w="2412"/>
            <w:shd w:val="clear" w:color="auto" w:fill="ECEEF2"/>
          </w:tcPr>
          <w:p>
            <w:r>
              <w:rPr>
                <w:rFonts w:ascii="Calibri" w:hAnsi="Calibri"/>
                <w:b w:val="0"/>
                <w:i w:val="0"/>
                <w:color w:val="222732"/>
                <w:sz w:val="21"/>
              </w:rPr>
              <w:t>2</w:t>
            </w:r>
          </w:p>
        </w:tc>
        <w:tc>
          <w:tcPr>
            <w:tcW w:type="dxa" w:w="2412"/>
            <w:shd w:val="clear" w:color="auto" w:fill="ECEEF2"/>
          </w:tcPr>
          <w:p>
            <w:r>
              <w:rPr>
                <w:rFonts w:ascii="Calibri" w:hAnsi="Calibri"/>
                <w:b w:val="0"/>
                <w:i w:val="0"/>
                <w:color w:val="222732"/>
                <w:sz w:val="21"/>
              </w:rPr>
              <w:t>0.50</w:t>
            </w:r>
          </w:p>
        </w:tc>
      </w:tr>
    </w:tbl>
    <w:p>
      <w:pPr>
        <w:spacing w:after="40"/>
      </w:pPr>
    </w:p>
    <w:p>
      <w:pPr>
        <w:spacing w:after="60"/>
      </w:pPr>
      <w:r>
        <w:rPr>
          <w:rFonts w:ascii="Calibri" w:hAnsi="Calibri"/>
          <w:b/>
          <w:i w:val="0"/>
          <w:color w:val="2F6DB5"/>
          <w:sz w:val="22"/>
        </w:rPr>
        <w:t xml:space="preserve">(a) </w:t>
      </w:r>
      <w:r>
        <w:rPr>
          <w:rFonts w:ascii="Calibri" w:hAnsi="Calibri"/>
          <w:b w:val="0"/>
          <w:i w:val="0"/>
          <w:color w:val="222732"/>
          <w:sz w:val="22"/>
        </w:rPr>
        <w:t>Write the IPW weight for each patient.</w:t>
      </w:r>
      <w:r>
        <w:rPr>
          <w:rFonts w:ascii="Calibri" w:hAnsi="Calibri"/>
          <w:b/>
          <w:i w:val="0"/>
          <w:color w:val="E9A23B"/>
          <w:sz w:val="22"/>
        </w:rPr>
        <w:t xml:space="preserve">   [2 pts]</w:t>
      </w:r>
    </w:p>
    <w:p>
      <w:pPr>
        <w:spacing w:after="200"/>
      </w:pPr>
      <w:r>
        <w:rPr>
          <w:rFonts w:ascii="Calibri" w:hAnsi="Calibri"/>
          <w:b w:val="0"/>
          <w:i w:val="0"/>
          <w:color w:val="222732"/>
          <w:sz w:val="22"/>
        </w:rPr>
      </w:r>
    </w:p>
    <w:p>
      <w:pPr>
        <w:spacing w:after="60"/>
      </w:pPr>
      <w:r>
        <w:rPr>
          <w:rFonts w:ascii="Calibri" w:hAnsi="Calibri"/>
          <w:b/>
          <w:i w:val="0"/>
          <w:color w:val="2F6DB5"/>
          <w:sz w:val="22"/>
        </w:rPr>
        <w:t xml:space="preserve">(b) </w:t>
      </w:r>
      <w:r>
        <w:rPr>
          <w:rFonts w:ascii="Calibri" w:hAnsi="Calibri"/>
          <w:b w:val="0"/>
          <w:i w:val="0"/>
          <w:color w:val="222732"/>
          <w:sz w:val="22"/>
        </w:rPr>
        <w:t>Compute the weighted mean outcome in the treated arm and in the control arm (Hájek), and report the IPW estimate of the ATE. Show the arithmetic.</w:t>
      </w:r>
      <w:r>
        <w:rPr>
          <w:rFonts w:ascii="Calibri" w:hAnsi="Calibri"/>
          <w:b/>
          <w:i w:val="0"/>
          <w:color w:val="E9A23B"/>
          <w:sz w:val="22"/>
        </w:rPr>
        <w:t xml:space="preserve">   [4 pts]</w:t>
      </w:r>
    </w:p>
    <w:p>
      <w:pPr>
        <w:spacing w:after="200"/>
      </w:pPr>
      <w:r>
        <w:rPr>
          <w:rFonts w:ascii="Calibri" w:hAnsi="Calibri"/>
          <w:b w:val="0"/>
          <w:i w:val="0"/>
          <w:color w:val="222732"/>
          <w:sz w:val="22"/>
        </w:rPr>
      </w:r>
    </w:p>
    <w:p>
      <w:pPr>
        <w:spacing w:after="60"/>
      </w:pPr>
      <w:r>
        <w:rPr>
          <w:rFonts w:ascii="Calibri" w:hAnsi="Calibri"/>
          <w:b/>
          <w:i w:val="0"/>
          <w:color w:val="2F6DB5"/>
          <w:sz w:val="22"/>
        </w:rPr>
        <w:t xml:space="preserve">(c) </w:t>
      </w:r>
      <w:r>
        <w:rPr>
          <w:rFonts w:ascii="Calibri" w:hAnsi="Calibri"/>
          <w:b w:val="0"/>
          <w:i w:val="0"/>
          <w:color w:val="222732"/>
          <w:sz w:val="22"/>
        </w:rPr>
        <w:t>The NAÏVE difference in raw group means is 10.67 − 4.0 = 6.67. In one or two sentences, explain why a doubly-robust (AIPW) estimator is preferred over plain IPW in practice — what 'double' protection does it give?</w:t>
      </w:r>
      <w:r>
        <w:rPr>
          <w:rFonts w:ascii="Calibri" w:hAnsi="Calibri"/>
          <w:b/>
          <w:i w:val="0"/>
          <w:color w:val="E9A23B"/>
          <w:sz w:val="22"/>
        </w:rPr>
        <w:t xml:space="preserve">   [2 pts]</w:t>
      </w:r>
    </w:p>
    <w:p>
      <w:pPr>
        <w:spacing w:after="200"/>
      </w:pPr>
      <w:r>
        <w:rPr>
          <w:rFonts w:ascii="Calibri" w:hAnsi="Calibri"/>
          <w:b w:val="0"/>
          <w:i w:val="0"/>
          <w:color w:val="222732"/>
          <w:sz w:val="22"/>
        </w:rPr>
      </w:r>
    </w:p>
    <w:p>
      <w:pPr>
        <w:spacing w:before="320" w:after="80"/>
        <w:pBdr>
          <w:left w:val="single" w:sz="18" w:space="8" w:color="2F6DB5"/>
        </w:pBdr>
        <w:ind w:left="115"/>
      </w:pPr>
      <w:r>
        <w:rPr>
          <w:rFonts w:ascii="Calibri" w:hAnsi="Calibri"/>
          <w:b/>
          <w:i w:val="0"/>
          <w:color w:val="1F2A44"/>
          <w:sz w:val="32"/>
        </w:rPr>
        <w:t>End of exam</w:t>
      </w:r>
    </w:p>
    <w:p>
      <w:pPr>
        <w:spacing w:after="120"/>
      </w:pPr>
      <w:r>
        <w:rPr>
          <w:rFonts w:ascii="Calibri" w:hAnsi="Calibri"/>
          <w:b w:val="0"/>
          <w:i/>
          <w:color w:val="222732"/>
          <w:sz w:val="22"/>
        </w:rPr>
        <w:t>Check that you have answered every part. Re-read any question where you did not state the identifying assumptions. Good luck.</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7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