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8 — Midterm Exam — Solutions</w:t>
      </w:r>
    </w:p>
    <w:p>
      <w:pPr>
        <w:spacing w:before="0" w:after="0"/>
        <w:pBdr>
          <w:bottom w:val="single" w:sz="24" w:space="8" w:color="E9A23B"/>
        </w:pBdr>
      </w:pPr>
    </w:p>
    <w:p>
      <w:pPr>
        <w:spacing w:after="120"/>
      </w:pPr>
      <w:r>
        <w:rPr>
          <w:rFonts w:ascii="Calibri" w:hAnsi="Calibri"/>
          <w:b/>
          <w:i w:val="0"/>
          <w:color w:val="1F2A44"/>
          <w:sz w:val="22"/>
        </w:rPr>
        <w:t>Weeks 1–7 — Foundations &amp; Adjustment for Confounding</w:t>
      </w:r>
    </w:p>
    <w:p>
      <w:pPr>
        <w:spacing w:after="120"/>
      </w:pPr>
      <w:r>
        <w:rPr>
          <w:rFonts w:ascii="Calibri" w:hAnsi="Calibri"/>
          <w:b w:val="0"/>
          <w:i w:val="0"/>
          <w:color w:val="222732"/>
          <w:sz w:val="22"/>
        </w:rPr>
        <w:t xml:space="preserve">Graduate course: </w:t>
      </w:r>
      <w:r>
        <w:rPr>
          <w:rFonts w:ascii="Calibri" w:hAnsi="Calibri"/>
          <w:b w:val="0"/>
          <w:i/>
          <w:color w:val="222732"/>
          <w:sz w:val="22"/>
        </w:rPr>
        <w:t>Causal Inference in Practice</w:t>
      </w:r>
      <w:r>
        <w:rPr>
          <w:rFonts w:ascii="Calibri" w:hAnsi="Calibri"/>
          <w:b w:val="0"/>
          <w:i w:val="0"/>
          <w:color w:val="222732"/>
          <w:sz w:val="22"/>
        </w:rPr>
        <w:t>.   Covers Weeks 1–7.   90 minutes.   100 points = 20% of grade.</w:t>
      </w:r>
    </w:p>
    <w:p>
      <w:pPr>
        <w:spacing w:before="160" w:after="0"/>
        <w:shd w:val="clear" w:color="auto" w:fill="ECEEF2"/>
        <w:pBdr>
          <w:left w:val="single" w:sz="24" w:space="8" w:color="C0504D"/>
        </w:pBdr>
      </w:pPr>
      <w:r>
        <w:rPr>
          <w:rFonts w:ascii="Calibri" w:hAnsi="Calibri"/>
          <w:b/>
          <w:i w:val="0"/>
          <w:color w:val="C0504D"/>
          <w:sz w:val="22"/>
        </w:rPr>
        <w:t>Instructor solution key</w:t>
      </w:r>
    </w:p>
    <w:p>
      <w:pPr>
        <w:spacing w:before="0" w:after="40"/>
        <w:shd w:val="clear" w:color="auto" w:fill="ECEEF2"/>
        <w:pBdr>
          <w:left w:val="single" w:sz="24" w:space="8" w:color="C0504D"/>
        </w:pBdr>
      </w:pPr>
      <w:r>
        <w:rPr>
          <w:rFonts w:ascii="Calibri" w:hAnsi="Calibri"/>
          <w:b w:val="0"/>
          <w:i w:val="0"/>
          <w:color w:val="222732"/>
          <w:sz w:val="21"/>
        </w:rPr>
        <w:t>Model answers and the point breakdown follow each question. Award partial credit for correct reasoning even when the final number differs; deduct for unstated identifying assumptions where the question asks for them.</w:t>
      </w:r>
    </w:p>
    <w:p>
      <w:pPr>
        <w:spacing w:before="0" w:after="0"/>
      </w:pPr>
    </w:p>
    <w:p>
      <w:pPr>
        <w:spacing w:before="320" w:after="80"/>
        <w:pBdr>
          <w:left w:val="single" w:sz="18" w:space="8" w:color="2F6DB5"/>
        </w:pBdr>
        <w:ind w:left="115"/>
      </w:pPr>
      <w:r>
        <w:rPr>
          <w:rFonts w:ascii="Calibri" w:hAnsi="Calibri"/>
          <w:b/>
          <w:i w:val="0"/>
          <w:color w:val="1F2A44"/>
          <w:sz w:val="32"/>
        </w:rPr>
        <w:t>Instructions</w:t>
      </w:r>
    </w:p>
    <w:p>
      <w:pPr>
        <w:pStyle w:val="ListBullet"/>
        <w:spacing w:after="60"/>
      </w:pPr>
      <w:r>
        <w:rPr>
          <w:rFonts w:ascii="Calibri" w:hAnsi="Calibri"/>
          <w:b/>
          <w:i w:val="0"/>
          <w:color w:val="222732"/>
          <w:sz w:val="22"/>
        </w:rPr>
        <w:t xml:space="preserve">Time: </w:t>
      </w:r>
      <w:r>
        <w:rPr>
          <w:rFonts w:ascii="Calibri" w:hAnsi="Calibri"/>
          <w:b w:val="0"/>
          <w:i w:val="0"/>
          <w:color w:val="222732"/>
          <w:sz w:val="22"/>
        </w:rPr>
        <w:t xml:space="preserve">90 minutes. </w:t>
      </w:r>
      <w:r>
        <w:rPr>
          <w:rFonts w:ascii="Calibri" w:hAnsi="Calibri"/>
          <w:b/>
          <w:i w:val="0"/>
          <w:color w:val="222732"/>
          <w:sz w:val="22"/>
        </w:rPr>
        <w:t xml:space="preserve">Total: </w:t>
      </w:r>
      <w:r>
        <w:rPr>
          <w:rFonts w:ascii="Calibri" w:hAnsi="Calibri"/>
          <w:b w:val="0"/>
          <w:i w:val="0"/>
          <w:color w:val="222732"/>
          <w:sz w:val="22"/>
        </w:rPr>
        <w:t>100 points (worth 20% of the course grade). Point values are shown beside each question; budget roughly one minute per point.</w:t>
      </w:r>
    </w:p>
    <w:p>
      <w:pPr>
        <w:pStyle w:val="ListBullet"/>
        <w:spacing w:after="60"/>
      </w:pPr>
      <w:r>
        <w:rPr>
          <w:rFonts w:ascii="Calibri" w:hAnsi="Calibri"/>
          <w:b/>
          <w:i w:val="0"/>
          <w:color w:val="222732"/>
          <w:sz w:val="22"/>
        </w:rPr>
        <w:t xml:space="preserve">Closed book, </w:t>
      </w:r>
      <w:r>
        <w:rPr>
          <w:rFonts w:ascii="Calibri" w:hAnsi="Calibri"/>
          <w:b w:val="0"/>
          <w:i w:val="0"/>
          <w:color w:val="222732"/>
          <w:sz w:val="22"/>
        </w:rPr>
        <w:t xml:space="preserve">with one exception: you may bring </w:t>
      </w:r>
      <w:r>
        <w:rPr>
          <w:rFonts w:ascii="Calibri" w:hAnsi="Calibri"/>
          <w:b/>
          <w:i w:val="0"/>
          <w:color w:val="222732"/>
          <w:sz w:val="22"/>
        </w:rPr>
        <w:t>a single one-sided page of handwritten notes</w:t>
      </w:r>
      <w:r>
        <w:rPr>
          <w:rFonts w:ascii="Calibri" w:hAnsi="Calibri"/>
          <w:b w:val="0"/>
          <w:i w:val="0"/>
          <w:color w:val="222732"/>
          <w:sz w:val="22"/>
        </w:rPr>
        <w:t>. A basic or scientific calculator is allowed; phones and laptops are not.</w:t>
      </w:r>
    </w:p>
    <w:p>
      <w:pPr>
        <w:pStyle w:val="ListBullet"/>
        <w:spacing w:after="60"/>
      </w:pPr>
      <w:r>
        <w:rPr>
          <w:rFonts w:ascii="Calibri" w:hAnsi="Calibri"/>
          <w:b/>
          <w:i w:val="0"/>
          <w:color w:val="222732"/>
          <w:sz w:val="22"/>
        </w:rPr>
        <w:t xml:space="preserve">Show your work. </w:t>
      </w:r>
      <w:r>
        <w:rPr>
          <w:rFonts w:ascii="Calibri" w:hAnsi="Calibri"/>
          <w:b w:val="0"/>
          <w:i w:val="0"/>
          <w:color w:val="222732"/>
          <w:sz w:val="22"/>
        </w:rPr>
        <w:t>For any numerical answer, write the expression you evaluate, not just the final number — partial credit follows the reasoning.</w:t>
      </w:r>
    </w:p>
    <w:p>
      <w:pPr>
        <w:pStyle w:val="ListBullet"/>
        <w:spacing w:after="60"/>
      </w:pPr>
      <w:r>
        <w:rPr>
          <w:rFonts w:ascii="Calibri" w:hAnsi="Calibri"/>
          <w:b/>
          <w:i w:val="0"/>
          <w:color w:val="222732"/>
          <w:sz w:val="22"/>
        </w:rPr>
        <w:t xml:space="preserve">State your assumptions. </w:t>
      </w:r>
      <w:r>
        <w:rPr>
          <w:rFonts w:ascii="Calibri" w:hAnsi="Calibri"/>
          <w:b w:val="0"/>
          <w:i w:val="0"/>
          <w:color w:val="222732"/>
          <w:sz w:val="22"/>
        </w:rPr>
        <w:t>Whenever you claim an estimate is causal, name the identifying assumptions you are relying on (e.g. exchangeability / no unmeasured confounding, positivity, SUTVA, consistency). Unstated assumptions cost points.</w:t>
      </w:r>
    </w:p>
    <w:p>
      <w:pPr>
        <w:pStyle w:val="ListBullet"/>
        <w:spacing w:after="60"/>
      </w:pPr>
      <w:r>
        <w:rPr>
          <w:rFonts w:ascii="Calibri" w:hAnsi="Calibri"/>
          <w:b/>
          <w:i w:val="0"/>
          <w:color w:val="222732"/>
          <w:sz w:val="22"/>
        </w:rPr>
        <w:t xml:space="preserve">Notation. </w:t>
      </w:r>
      <w:r>
        <w:rPr>
          <w:rFonts w:ascii="Calibri" w:hAnsi="Calibri"/>
          <w:b w:val="0"/>
          <w:i w:val="0"/>
          <w:color w:val="222732"/>
          <w:sz w:val="22"/>
        </w:rPr>
        <w:t>Y is the outcome, T (or A) the treatment/exposure, X the covariates; Y(1), Y(0) are potential outcomes; e(X) = P(T = 1 | X) is the propensity score. do(·) denotes Pearl's intervention operator.</w:t>
      </w:r>
    </w:p>
    <w:p>
      <w:pPr>
        <w:pStyle w:val="ListBullet"/>
        <w:spacing w:after="60"/>
      </w:pPr>
      <w:r>
        <w:rPr>
          <w:rFonts w:ascii="Calibri" w:hAnsi="Calibri"/>
          <w:b/>
          <w:i w:val="0"/>
          <w:color w:val="222732"/>
          <w:sz w:val="22"/>
        </w:rPr>
        <w:t xml:space="preserve">Be concise. </w:t>
      </w:r>
      <w:r>
        <w:rPr>
          <w:rFonts w:ascii="Calibri" w:hAnsi="Calibri"/>
          <w:b w:val="0"/>
          <w:i w:val="0"/>
          <w:color w:val="222732"/>
          <w:sz w:val="22"/>
        </w:rPr>
        <w:t>Two or three precise sentences usually earn full marks on a short-answer part; long essays do not earn extra credit.</w:t>
      </w:r>
    </w:p>
    <w:p>
      <w:pPr>
        <w:spacing w:before="320" w:after="80"/>
        <w:pBdr>
          <w:left w:val="single" w:sz="18" w:space="8" w:color="2F6DB5"/>
        </w:pBdr>
        <w:ind w:left="115"/>
      </w:pPr>
      <w:r>
        <w:rPr>
          <w:rFonts w:ascii="Calibri" w:hAnsi="Calibri"/>
          <w:b/>
          <w:i w:val="0"/>
          <w:color w:val="1F2A44"/>
          <w:sz w:val="32"/>
        </w:rPr>
        <w:t>How the points are distributed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Pr>
                <w:rFonts w:ascii="Calibri" w:hAnsi="Calibri"/>
                <w:b/>
                <w:i w:val="0"/>
                <w:color w:val="FFFFFF"/>
                <w:sz w:val="21"/>
              </w:rPr>
              <w:t>Section</w:t>
            </w:r>
          </w:p>
        </w:tc>
        <w:tc>
          <w:tcPr>
            <w:tcW w:type="dxa" w:w="3216"/>
            <w:shd w:val="clear" w:color="auto" w:fill="1F2A44"/>
          </w:tcPr>
          <w:p>
            <w:r>
              <w:rPr>
                <w:rFonts w:ascii="Calibri" w:hAnsi="Calibri"/>
                <w:b/>
                <w:i w:val="0"/>
                <w:color w:val="FFFFFF"/>
                <w:sz w:val="21"/>
              </w:rPr>
              <w:t>Topic</w:t>
            </w:r>
          </w:p>
        </w:tc>
        <w:tc>
          <w:tcPr>
            <w:tcW w:type="dxa" w:w="3216"/>
            <w:shd w:val="clear" w:color="auto" w:fill="1F2A44"/>
          </w:tcPr>
          <w:p>
            <w:r>
              <w:rPr>
                <w:rFonts w:ascii="Calibri" w:hAnsi="Calibri"/>
                <w:b/>
                <w:i w:val="0"/>
                <w:color w:val="FFFFFF"/>
                <w:sz w:val="21"/>
              </w:rPr>
              <w:t>Points</w:t>
            </w:r>
          </w:p>
        </w:tc>
      </w:tr>
      <w:tr>
        <w:tc>
          <w:tcPr>
            <w:tcW w:type="dxa" w:w="3216"/>
          </w:tcPr>
          <w:p>
            <w:r>
              <w:rPr>
                <w:rFonts w:ascii="Calibri" w:hAnsi="Calibri"/>
                <w:b w:val="0"/>
                <w:i w:val="0"/>
                <w:color w:val="222732"/>
                <w:sz w:val="21"/>
              </w:rPr>
              <w:t>A</w:t>
            </w:r>
          </w:p>
        </w:tc>
        <w:tc>
          <w:tcPr>
            <w:tcW w:type="dxa" w:w="3216"/>
          </w:tcPr>
          <w:p>
            <w:r>
              <w:rPr>
                <w:rFonts w:ascii="Calibri" w:hAnsi="Calibri"/>
                <w:b w:val="0"/>
                <w:i w:val="0"/>
                <w:color w:val="222732"/>
                <w:sz w:val="21"/>
              </w:rPr>
              <w:t>Conceptual foundations</w:t>
            </w:r>
          </w:p>
        </w:tc>
        <w:tc>
          <w:tcPr>
            <w:tcW w:type="dxa" w:w="3216"/>
          </w:tcPr>
          <w:p>
            <w:r>
              <w:rPr>
                <w:rFonts w:ascii="Calibri" w:hAnsi="Calibri"/>
                <w:b w:val="0"/>
                <w:i w:val="0"/>
                <w:color w:val="222732"/>
                <w:sz w:val="21"/>
              </w:rPr>
              <w:t>18</w:t>
            </w:r>
          </w:p>
        </w:tc>
      </w:tr>
      <w:tr>
        <w:tc>
          <w:tcPr>
            <w:tcW w:type="dxa" w:w="3216"/>
            <w:shd w:val="clear" w:color="auto" w:fill="ECEEF2"/>
          </w:tcPr>
          <w:p>
            <w:r>
              <w:rPr>
                <w:rFonts w:ascii="Calibri" w:hAnsi="Calibri"/>
                <w:b w:val="0"/>
                <w:i w:val="0"/>
                <w:color w:val="222732"/>
                <w:sz w:val="21"/>
              </w:rPr>
              <w:t>B</w:t>
            </w:r>
          </w:p>
        </w:tc>
        <w:tc>
          <w:tcPr>
            <w:tcW w:type="dxa" w:w="3216"/>
            <w:shd w:val="clear" w:color="auto" w:fill="ECEEF2"/>
          </w:tcPr>
          <w:p>
            <w:r>
              <w:rPr>
                <w:rFonts w:ascii="Calibri" w:hAnsi="Calibri"/>
                <w:b w:val="0"/>
                <w:i w:val="0"/>
                <w:color w:val="222732"/>
                <w:sz w:val="21"/>
              </w:rPr>
              <w:t>Causal graphs (DAGs)</w:t>
            </w:r>
          </w:p>
        </w:tc>
        <w:tc>
          <w:tcPr>
            <w:tcW w:type="dxa" w:w="3216"/>
            <w:shd w:val="clear" w:color="auto" w:fill="ECEEF2"/>
          </w:tcPr>
          <w:p>
            <w:r>
              <w:rPr>
                <w:rFonts w:ascii="Calibri" w:hAnsi="Calibri"/>
                <w:b w:val="0"/>
                <w:i w:val="0"/>
                <w:color w:val="222732"/>
                <w:sz w:val="21"/>
              </w:rPr>
              <w:t>18</w:t>
            </w:r>
          </w:p>
        </w:tc>
      </w:tr>
      <w:tr>
        <w:tc>
          <w:tcPr>
            <w:tcW w:type="dxa" w:w="3216"/>
          </w:tcPr>
          <w:p>
            <w:r>
              <w:rPr>
                <w:rFonts w:ascii="Calibri" w:hAnsi="Calibri"/>
                <w:b w:val="0"/>
                <w:i w:val="0"/>
                <w:color w:val="222732"/>
                <w:sz w:val="21"/>
              </w:rPr>
              <w:t>C</w:t>
            </w:r>
          </w:p>
        </w:tc>
        <w:tc>
          <w:tcPr>
            <w:tcW w:type="dxa" w:w="3216"/>
          </w:tcPr>
          <w:p>
            <w:r>
              <w:rPr>
                <w:rFonts w:ascii="Calibri" w:hAnsi="Calibri"/>
                <w:b w:val="0"/>
                <w:i w:val="0"/>
                <w:color w:val="222732"/>
                <w:sz w:val="21"/>
              </w:rPr>
              <w:t>Potential outcomes &amp; estimands</w:t>
            </w:r>
          </w:p>
        </w:tc>
        <w:tc>
          <w:tcPr>
            <w:tcW w:type="dxa" w:w="3216"/>
          </w:tcPr>
          <w:p>
            <w:r>
              <w:rPr>
                <w:rFonts w:ascii="Calibri" w:hAnsi="Calibri"/>
                <w:b w:val="0"/>
                <w:i w:val="0"/>
                <w:color w:val="222732"/>
                <w:sz w:val="21"/>
              </w:rPr>
              <w:t>16</w:t>
            </w:r>
          </w:p>
        </w:tc>
      </w:tr>
      <w:tr>
        <w:tc>
          <w:tcPr>
            <w:tcW w:type="dxa" w:w="3216"/>
            <w:shd w:val="clear" w:color="auto" w:fill="ECEEF2"/>
          </w:tcPr>
          <w:p>
            <w:r>
              <w:rPr>
                <w:rFonts w:ascii="Calibri" w:hAnsi="Calibri"/>
                <w:b w:val="0"/>
                <w:i w:val="0"/>
                <w:color w:val="222732"/>
                <w:sz w:val="21"/>
              </w:rPr>
              <w:t>D</w:t>
            </w:r>
          </w:p>
        </w:tc>
        <w:tc>
          <w:tcPr>
            <w:tcW w:type="dxa" w:w="3216"/>
            <w:shd w:val="clear" w:color="auto" w:fill="ECEEF2"/>
          </w:tcPr>
          <w:p>
            <w:r>
              <w:rPr>
                <w:rFonts w:ascii="Calibri" w:hAnsi="Calibri"/>
                <w:b w:val="0"/>
                <w:i w:val="0"/>
                <w:color w:val="222732"/>
                <w:sz w:val="21"/>
              </w:rPr>
              <w:t>Randomized experiments &amp; A/B testing</w:t>
            </w:r>
          </w:p>
        </w:tc>
        <w:tc>
          <w:tcPr>
            <w:tcW w:type="dxa" w:w="3216"/>
            <w:shd w:val="clear" w:color="auto" w:fill="ECEEF2"/>
          </w:tcPr>
          <w:p>
            <w:r>
              <w:rPr>
                <w:rFonts w:ascii="Calibri" w:hAnsi="Calibri"/>
                <w:b w:val="0"/>
                <w:i w:val="0"/>
                <w:color w:val="222732"/>
                <w:sz w:val="21"/>
              </w:rPr>
              <w:t>16</w:t>
            </w:r>
          </w:p>
        </w:tc>
      </w:tr>
      <w:tr>
        <w:tc>
          <w:tcPr>
            <w:tcW w:type="dxa" w:w="3216"/>
          </w:tcPr>
          <w:p>
            <w:r>
              <w:rPr>
                <w:rFonts w:ascii="Calibri" w:hAnsi="Calibri"/>
                <w:b w:val="0"/>
                <w:i w:val="0"/>
                <w:color w:val="222732"/>
                <w:sz w:val="21"/>
              </w:rPr>
              <w:t>E</w:t>
            </w:r>
          </w:p>
        </w:tc>
        <w:tc>
          <w:tcPr>
            <w:tcW w:type="dxa" w:w="3216"/>
          </w:tcPr>
          <w:p>
            <w:r>
              <w:rPr>
                <w:rFonts w:ascii="Calibri" w:hAnsi="Calibri"/>
                <w:b w:val="0"/>
                <w:i w:val="0"/>
                <w:color w:val="222732"/>
                <w:sz w:val="21"/>
              </w:rPr>
              <w:t>Regression &amp; adjustment</w:t>
            </w:r>
          </w:p>
        </w:tc>
        <w:tc>
          <w:tcPr>
            <w:tcW w:type="dxa" w:w="3216"/>
          </w:tcPr>
          <w:p>
            <w:r>
              <w:rPr>
                <w:rFonts w:ascii="Calibri" w:hAnsi="Calibri"/>
                <w:b w:val="0"/>
                <w:i w:val="0"/>
                <w:color w:val="222732"/>
                <w:sz w:val="21"/>
              </w:rPr>
              <w:t>14</w:t>
            </w:r>
          </w:p>
        </w:tc>
      </w:tr>
      <w:tr>
        <w:tc>
          <w:tcPr>
            <w:tcW w:type="dxa" w:w="3216"/>
            <w:shd w:val="clear" w:color="auto" w:fill="ECEEF2"/>
          </w:tcPr>
          <w:p>
            <w:r>
              <w:rPr>
                <w:rFonts w:ascii="Calibri" w:hAnsi="Calibri"/>
                <w:b w:val="0"/>
                <w:i w:val="0"/>
                <w:color w:val="222732"/>
                <w:sz w:val="21"/>
              </w:rPr>
              <w:t>F</w:t>
            </w:r>
          </w:p>
        </w:tc>
        <w:tc>
          <w:tcPr>
            <w:tcW w:type="dxa" w:w="3216"/>
            <w:shd w:val="clear" w:color="auto" w:fill="ECEEF2"/>
          </w:tcPr>
          <w:p>
            <w:r>
              <w:rPr>
                <w:rFonts w:ascii="Calibri" w:hAnsi="Calibri"/>
                <w:b w:val="0"/>
                <w:i w:val="0"/>
                <w:color w:val="222732"/>
                <w:sz w:val="21"/>
              </w:rPr>
              <w:t>Matching, propensity scores &amp; weighting</w:t>
            </w:r>
          </w:p>
        </w:tc>
        <w:tc>
          <w:tcPr>
            <w:tcW w:type="dxa" w:w="3216"/>
            <w:shd w:val="clear" w:color="auto" w:fill="ECEEF2"/>
          </w:tcPr>
          <w:p>
            <w:r>
              <w:rPr>
                <w:rFonts w:ascii="Calibri" w:hAnsi="Calibri"/>
                <w:b w:val="0"/>
                <w:i w:val="0"/>
                <w:color w:val="222732"/>
                <w:sz w:val="21"/>
              </w:rPr>
              <w:t>18</w:t>
            </w:r>
          </w:p>
        </w:tc>
      </w:tr>
      <w:tr>
        <w:tc>
          <w:tcPr>
            <w:tcW w:type="dxa" w:w="3216"/>
          </w:tcPr>
          <w:p>
            <w:r>
              <w:rPr>
                <w:rFonts w:ascii="Calibri" w:hAnsi="Calibri"/>
                <w:b w:val="0"/>
                <w:i w:val="0"/>
                <w:color w:val="222732"/>
                <w:sz w:val="21"/>
              </w:rPr>
            </w:r>
          </w:p>
        </w:tc>
        <w:tc>
          <w:tcPr>
            <w:tcW w:type="dxa" w:w="3216"/>
          </w:tcPr>
          <w:p>
            <w:r>
              <w:rPr>
                <w:rFonts w:ascii="Calibri" w:hAnsi="Calibri"/>
                <w:b w:val="0"/>
                <w:i w:val="0"/>
                <w:color w:val="222732"/>
                <w:sz w:val="21"/>
              </w:rPr>
              <w:t>Total</w:t>
            </w:r>
          </w:p>
        </w:tc>
        <w:tc>
          <w:tcPr>
            <w:tcW w:type="dxa" w:w="3216"/>
          </w:tcPr>
          <w:p>
            <w:r>
              <w:rPr>
                <w:rFonts w:ascii="Calibri" w:hAnsi="Calibri"/>
                <w:b w:val="0"/>
                <w:i w:val="0"/>
                <w:color w:val="222732"/>
                <w:sz w:val="21"/>
              </w:rPr>
              <w:t>100</w:t>
            </w:r>
          </w:p>
        </w:tc>
      </w:tr>
    </w:tbl>
    <w:p>
      <w:pPr>
        <w:spacing w:after="40"/>
      </w:pPr>
    </w:p>
    <w:p>
      <w:pPr>
        <w:spacing w:before="320" w:after="80"/>
        <w:pBdr>
          <w:left w:val="single" w:sz="18" w:space="8" w:color="2F6DB5"/>
        </w:pBdr>
        <w:ind w:left="115"/>
      </w:pPr>
      <w:r>
        <w:rPr>
          <w:rFonts w:ascii="Calibri" w:hAnsi="Calibri"/>
          <w:b/>
          <w:i w:val="0"/>
          <w:color w:val="1F2A44"/>
          <w:sz w:val="32"/>
        </w:rPr>
        <w:t>Section A — Conceptual foundations  (18 points)</w:t>
      </w:r>
    </w:p>
    <w:p>
      <w:pPr>
        <w:spacing w:before="120" w:after="40"/>
      </w:pPr>
      <w:r>
        <w:rPr>
          <w:rFonts w:ascii="Calibri" w:hAnsi="Calibri"/>
          <w:b/>
          <w:i w:val="0"/>
          <w:color w:val="2F6DB5"/>
          <w:sz w:val="22"/>
        </w:rPr>
        <w:t xml:space="preserve">1. </w:t>
      </w:r>
      <w:r>
        <w:rPr>
          <w:rFonts w:ascii="Calibri" w:hAnsi="Calibri"/>
          <w:b/>
          <w:i w:val="0"/>
          <w:color w:val="222732"/>
          <w:sz w:val="22"/>
        </w:rPr>
        <w:t>Prediction vs. intervention, and the do-operator</w:t>
      </w:r>
      <w:r>
        <w:rPr>
          <w:rFonts w:ascii="Calibri" w:hAnsi="Calibri"/>
          <w:b/>
          <w:i w:val="0"/>
          <w:color w:val="E9A23B"/>
          <w:sz w:val="22"/>
        </w:rPr>
        <w:t xml:space="preserve">   [10 pts]</w:t>
      </w:r>
    </w:p>
    <w:p>
      <w:pPr>
        <w:spacing w:after="120"/>
      </w:pPr>
      <w:r>
        <w:rPr>
          <w:rFonts w:ascii="Calibri" w:hAnsi="Calibri"/>
          <w:b w:val="0"/>
          <w:i w:val="0"/>
          <w:color w:val="222732"/>
          <w:sz w:val="22"/>
        </w:rPr>
        <w:t xml:space="preserve">A hospital's analytics team finds that, in their records, patients who receive a particular antibiotic have </w:t>
      </w:r>
      <w:r>
        <w:rPr>
          <w:rFonts w:ascii="Calibri" w:hAnsi="Calibri"/>
          <w:b w:val="0"/>
          <w:i/>
          <w:color w:val="222732"/>
          <w:sz w:val="22"/>
        </w:rPr>
        <w:t>higher</w:t>
      </w:r>
      <w:r>
        <w:rPr>
          <w:rFonts w:ascii="Calibri" w:hAnsi="Calibri"/>
          <w:b w:val="0"/>
          <w:i w:val="0"/>
          <w:color w:val="222732"/>
          <w:sz w:val="22"/>
        </w:rPr>
        <w:t xml:space="preserve"> 30-day mortality than patients who do not. A vendor proposes a model that predicts mortality very accurately from the chart, including the antibiotic indicator.</w:t>
      </w:r>
    </w:p>
    <w:p>
      <w:pPr>
        <w:spacing w:after="60"/>
      </w:pPr>
      <w:r>
        <w:rPr>
          <w:rFonts w:ascii="Calibri" w:hAnsi="Calibri"/>
          <w:b/>
          <w:i w:val="0"/>
          <w:color w:val="2F6DB5"/>
          <w:sz w:val="22"/>
        </w:rPr>
        <w:t xml:space="preserve">(a) </w:t>
      </w:r>
      <w:r>
        <w:rPr>
          <w:rFonts w:ascii="Calibri" w:hAnsi="Calibri"/>
          <w:b w:val="0"/>
          <w:i w:val="0"/>
          <w:color w:val="222732"/>
          <w:sz w:val="22"/>
        </w:rPr>
        <w:t>Explain the difference between the predictive quantity P(Y = 1 | T = 1) and the interventional quantity P(Y = 1 | do(T = 1)). Why can the vendor's model be excellent at the first while saying nothing reliable about the second?</w:t>
      </w:r>
      <w:r>
        <w:rPr>
          <w:rFonts w:ascii="Calibri" w:hAnsi="Calibri"/>
          <w:b/>
          <w:i w:val="0"/>
          <w:color w:val="E9A23B"/>
          <w:sz w:val="22"/>
        </w:rPr>
        <w:t xml:space="preserve">   [4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P(Y|T=1) is the distribution of the outcome among the subpopulation that was observed to receive the antibiotic — a property of how the data were generated, confounding and selection included.</w:t>
      </w:r>
    </w:p>
    <w:p>
      <w:pPr>
        <w:pStyle w:val="ListBullet"/>
        <w:spacing w:after="60"/>
      </w:pPr>
      <w:r>
        <w:rPr>
          <w:rFonts w:ascii="Calibri" w:hAnsi="Calibri"/>
          <w:b w:val="0"/>
          <w:i w:val="0"/>
          <w:color w:val="222732"/>
          <w:sz w:val="22"/>
        </w:rPr>
        <w:t>P(Y|do(T=1)) is the distribution we would see if we intervened and set treatment to 1 for everyone, breaking the arrows from causes of T into T (a property of a hypothetical world we may never have observed).</w:t>
      </w:r>
    </w:p>
    <w:p>
      <w:pPr>
        <w:pStyle w:val="ListBullet"/>
        <w:spacing w:after="60"/>
      </w:pPr>
      <w:r>
        <w:rPr>
          <w:rFonts w:ascii="Calibri" w:hAnsi="Calibri"/>
          <w:b w:val="0"/>
          <w:i w:val="0"/>
          <w:color w:val="222732"/>
          <w:sz w:val="22"/>
        </w:rPr>
        <w:t>The model learns the conditional (observational) association, so it can be highly accurate predictively yet estimate the wrong thing for a decision: here, sicker patients are the ones given the antibiotic, so the observed association is confounded by indication.</w:t>
      </w:r>
    </w:p>
    <w:p>
      <w:pPr>
        <w:spacing w:after="60"/>
      </w:pPr>
      <w:r>
        <w:rPr>
          <w:rFonts w:ascii="Calibri" w:hAnsi="Calibri"/>
          <w:b/>
          <w:i w:val="0"/>
          <w:color w:val="2F6DB5"/>
          <w:sz w:val="22"/>
        </w:rPr>
        <w:t xml:space="preserve">(b) </w:t>
      </w:r>
      <w:r>
        <w:rPr>
          <w:rFonts w:ascii="Calibri" w:hAnsi="Calibri"/>
          <w:b w:val="0"/>
          <w:i w:val="0"/>
          <w:color w:val="222732"/>
          <w:sz w:val="22"/>
        </w:rPr>
        <w:t>Name the phenomenon that most plausibly produces the positive antibiotic–mortality association in the records, and explain in one sentence why it does not imply the drug is harmful.</w:t>
      </w:r>
      <w:r>
        <w:rPr>
          <w:rFonts w:ascii="Calibri" w:hAnsi="Calibri"/>
          <w:b/>
          <w:i w:val="0"/>
          <w:color w:val="E9A23B"/>
          <w:sz w:val="22"/>
        </w:rPr>
        <w:t xml:space="preserve">   [3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Confounding by indication: severity of illness causes both the prescription and death.</w:t>
      </w:r>
    </w:p>
    <w:p>
      <w:pPr>
        <w:pStyle w:val="ListBullet"/>
        <w:spacing w:after="60"/>
      </w:pPr>
      <w:r>
        <w:rPr>
          <w:rFonts w:ascii="Calibri" w:hAnsi="Calibri"/>
          <w:b w:val="0"/>
          <w:i w:val="0"/>
          <w:color w:val="222732"/>
          <w:sz w:val="22"/>
        </w:rPr>
        <w:t>Severity is a common cause, so it opens a non-causal (back-door) path T &lt;- severity -&gt; Y; the association mixes the drug's effect with the effect of being sicker, so a positive crude association is consistent with a zero or even protective causal effect.</w:t>
      </w:r>
    </w:p>
    <w:p>
      <w:pPr>
        <w:spacing w:after="60"/>
      </w:pPr>
      <w:r>
        <w:rPr>
          <w:rFonts w:ascii="Calibri" w:hAnsi="Calibri"/>
          <w:b/>
          <w:i w:val="0"/>
          <w:color w:val="2F6DB5"/>
          <w:sz w:val="22"/>
        </w:rPr>
        <w:t xml:space="preserve">(c) </w:t>
      </w:r>
      <w:r>
        <w:rPr>
          <w:rFonts w:ascii="Calibri" w:hAnsi="Calibri"/>
          <w:b w:val="0"/>
          <w:i w:val="0"/>
          <w:color w:val="222732"/>
          <w:sz w:val="22"/>
        </w:rPr>
        <w:t>State, in one sentence each, the kind of study or analysis that would let the team estimate the interventional quantity, and the single most important assumption it would rely on.</w:t>
      </w:r>
      <w:r>
        <w:rPr>
          <w:rFonts w:ascii="Calibri" w:hAnsi="Calibri"/>
          <w:b/>
          <w:i w:val="0"/>
          <w:color w:val="E9A23B"/>
          <w:sz w:val="22"/>
        </w:rPr>
        <w:t xml:space="preserve">   [3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A randomized trial of the antibiotic (or, with observational data, an adjustment / weighting analysis on the measured confounders) targets do(T).</w:t>
      </w:r>
    </w:p>
    <w:p>
      <w:pPr>
        <w:pStyle w:val="ListBullet"/>
        <w:spacing w:after="60"/>
      </w:pPr>
      <w:r>
        <w:rPr>
          <w:rFonts w:ascii="Calibri" w:hAnsi="Calibri"/>
          <w:b w:val="0"/>
          <w:i w:val="0"/>
          <w:color w:val="222732"/>
          <w:sz w:val="22"/>
        </w:rPr>
        <w:t>The key assumption is no unmeasured confounding / conditional exchangeability — randomization guarantees it by design; the observational route only if all common causes (notably severity) are measured and adjusted for, plus positivity and SUTVA.</w:t>
      </w:r>
    </w:p>
    <w:p>
      <w:pPr>
        <w:spacing w:before="120" w:after="40"/>
      </w:pPr>
      <w:r>
        <w:rPr>
          <w:rFonts w:ascii="Calibri" w:hAnsi="Calibri"/>
          <w:b/>
          <w:i w:val="0"/>
          <w:color w:val="2F6DB5"/>
          <w:sz w:val="22"/>
        </w:rPr>
        <w:t xml:space="preserve">2. </w:t>
      </w:r>
      <w:r>
        <w:rPr>
          <w:rFonts w:ascii="Calibri" w:hAnsi="Calibri"/>
          <w:b/>
          <w:i w:val="0"/>
          <w:color w:val="222732"/>
          <w:sz w:val="22"/>
        </w:rPr>
        <w:t>The three elementary structures</w:t>
      </w:r>
      <w:r>
        <w:rPr>
          <w:rFonts w:ascii="Calibri" w:hAnsi="Calibri"/>
          <w:b/>
          <w:i w:val="0"/>
          <w:color w:val="E9A23B"/>
          <w:sz w:val="22"/>
        </w:rPr>
        <w:t xml:space="preserve">   [8 pts]</w:t>
      </w:r>
    </w:p>
    <w:p>
      <w:pPr>
        <w:spacing w:after="120"/>
      </w:pPr>
      <w:r>
        <w:rPr>
          <w:rFonts w:ascii="Calibri" w:hAnsi="Calibri"/>
          <w:b w:val="0"/>
          <w:i w:val="0"/>
          <w:color w:val="222732"/>
          <w:sz w:val="22"/>
        </w:rPr>
        <w:t>Causal effects flow through chains, forks, and colliders. Consider three measured variables A, B, C.</w:t>
      </w:r>
    </w:p>
    <w:p>
      <w:pPr>
        <w:spacing w:after="60"/>
      </w:pPr>
      <w:r>
        <w:rPr>
          <w:rFonts w:ascii="Calibri" w:hAnsi="Calibri"/>
          <w:b/>
          <w:i w:val="0"/>
          <w:color w:val="2F6DB5"/>
          <w:sz w:val="22"/>
        </w:rPr>
        <w:t xml:space="preserve">(a) </w:t>
      </w:r>
      <w:r>
        <w:rPr>
          <w:rFonts w:ascii="Calibri" w:hAnsi="Calibri"/>
          <w:b w:val="0"/>
          <w:i w:val="0"/>
          <w:color w:val="222732"/>
          <w:sz w:val="22"/>
        </w:rPr>
        <w:t>For each of the three structures below, state whether A and C are marginally (unconditionally) associated, and whether conditioning on B (the middle variable) creates or removes association. Fill in the logic for all three:</w:t>
      </w:r>
      <w:r>
        <w:rPr>
          <w:rFonts w:ascii="Calibri" w:hAnsi="Calibri"/>
          <w:b/>
          <w:i w:val="0"/>
          <w:color w:val="E9A23B"/>
          <w:sz w:val="22"/>
        </w:rPr>
        <w:t xml:space="preserve">   [6 pts]</w:t>
      </w:r>
    </w:p>
    <w:p>
      <w:pPr>
        <w:spacing w:after="60"/>
      </w:pPr>
      <w:r>
        <w:rPr>
          <w:rFonts w:ascii="Consolas" w:hAnsi="Consolas"/>
          <w:b w:val="0"/>
          <w:i w:val="0"/>
          <w:color w:val="222732"/>
          <w:sz w:val="20"/>
        </w:rPr>
        <w:t xml:space="preserve">  (i) Chain  A → B → C    (ii) Fork  A ← B → C    (iii) Collider  A → B ← C</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Chain A→B→C: A and C are associated marginally; conditioning on the mediator B blocks the path and removes the association (A ⫫ C | B).</w:t>
      </w:r>
    </w:p>
    <w:p>
      <w:pPr>
        <w:pStyle w:val="ListBullet"/>
        <w:spacing w:after="60"/>
      </w:pPr>
      <w:r>
        <w:rPr>
          <w:rFonts w:ascii="Calibri" w:hAnsi="Calibri"/>
          <w:b w:val="0"/>
          <w:i w:val="0"/>
          <w:color w:val="222732"/>
          <w:sz w:val="22"/>
        </w:rPr>
        <w:t>Fork A←B→C: A and C are associated marginally (common cause B); conditioning on the confounder B blocks the path and removes the association (A ⫫ C | B).</w:t>
      </w:r>
    </w:p>
    <w:p>
      <w:pPr>
        <w:pStyle w:val="ListBullet"/>
        <w:spacing w:after="60"/>
      </w:pPr>
      <w:r>
        <w:rPr>
          <w:rFonts w:ascii="Calibri" w:hAnsi="Calibri"/>
          <w:b w:val="0"/>
          <w:i w:val="0"/>
          <w:color w:val="222732"/>
          <w:sz w:val="22"/>
        </w:rPr>
        <w:t>Collider A→B←C: A and C are NOT associated marginally (path is blocked by the collider); conditioning on the collider B (or its descendant) OPENS the path and creates a spurious association.</w:t>
      </w:r>
    </w:p>
    <w:p>
      <w:pPr>
        <w:spacing w:after="60"/>
      </w:pPr>
      <w:r>
        <w:rPr>
          <w:rFonts w:ascii="Calibri" w:hAnsi="Calibri"/>
          <w:b/>
          <w:i w:val="0"/>
          <w:color w:val="2F6DB5"/>
          <w:sz w:val="22"/>
        </w:rPr>
        <w:t xml:space="preserve">(b) </w:t>
      </w:r>
      <w:r>
        <w:rPr>
          <w:rFonts w:ascii="Calibri" w:hAnsi="Calibri"/>
          <w:b w:val="0"/>
          <w:i w:val="0"/>
          <w:color w:val="222732"/>
          <w:sz w:val="22"/>
        </w:rPr>
        <w:t>Which one of the three is the reason that "controlling for more variables" is not always safer? Answer in one sentence.</w:t>
      </w:r>
      <w:r>
        <w:rPr>
          <w:rFonts w:ascii="Calibri" w:hAnsi="Calibri"/>
          <w:b/>
          <w:i w:val="0"/>
          <w:color w:val="E9A23B"/>
          <w:sz w:val="22"/>
        </w:rPr>
        <w:t xml:space="preserve">   [2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The collider: adjusting for a collider (or a descendant of one) introduces collider/selection bias, so adding controls can create bias rather than remove it.</w:t>
      </w:r>
    </w:p>
    <w:p>
      <w:pPr>
        <w:spacing w:before="320" w:after="80"/>
        <w:pBdr>
          <w:left w:val="single" w:sz="18" w:space="8" w:color="2F6DB5"/>
        </w:pBdr>
        <w:ind w:left="115"/>
      </w:pPr>
      <w:r>
        <w:rPr>
          <w:rFonts w:ascii="Calibri" w:hAnsi="Calibri"/>
          <w:b/>
          <w:i w:val="0"/>
          <w:color w:val="1F2A44"/>
          <w:sz w:val="32"/>
        </w:rPr>
        <w:t>Section B — Causal graphs (DAGs)  (18 points)</w:t>
      </w:r>
    </w:p>
    <w:p>
      <w:pPr>
        <w:spacing w:before="120" w:after="40"/>
      </w:pPr>
      <w:r>
        <w:rPr>
          <w:rFonts w:ascii="Calibri" w:hAnsi="Calibri"/>
          <w:b/>
          <w:i w:val="0"/>
          <w:color w:val="2F6DB5"/>
          <w:sz w:val="22"/>
        </w:rPr>
        <w:t xml:space="preserve">3. </w:t>
      </w:r>
      <w:r>
        <w:rPr>
          <w:rFonts w:ascii="Calibri" w:hAnsi="Calibri"/>
          <w:b/>
          <w:i w:val="0"/>
          <w:color w:val="222732"/>
          <w:sz w:val="22"/>
        </w:rPr>
        <w:t>Reading a DAG: paths, blocking, and a valid adjustment set</w:t>
      </w:r>
      <w:r>
        <w:rPr>
          <w:rFonts w:ascii="Calibri" w:hAnsi="Calibri"/>
          <w:b/>
          <w:i w:val="0"/>
          <w:color w:val="E9A23B"/>
          <w:sz w:val="22"/>
        </w:rPr>
        <w:t xml:space="preserve">   [18 pts]</w:t>
      </w:r>
    </w:p>
    <w:p>
      <w:pPr>
        <w:spacing w:after="120"/>
      </w:pPr>
      <w:r>
        <w:rPr>
          <w:rFonts w:ascii="Calibri" w:hAnsi="Calibri"/>
          <w:b w:val="0"/>
          <w:i w:val="0"/>
          <w:color w:val="222732"/>
          <w:sz w:val="22"/>
        </w:rPr>
        <w:t xml:space="preserve">A team studies the effect of a job-training program </w:t>
      </w:r>
      <w:r>
        <w:rPr>
          <w:rFonts w:ascii="Calibri" w:hAnsi="Calibri"/>
          <w:b/>
          <w:i w:val="0"/>
          <w:color w:val="222732"/>
          <w:sz w:val="22"/>
        </w:rPr>
        <w:t>T</w:t>
      </w:r>
      <w:r>
        <w:rPr>
          <w:rFonts w:ascii="Calibri" w:hAnsi="Calibri"/>
          <w:b w:val="0"/>
          <w:i w:val="0"/>
          <w:color w:val="222732"/>
          <w:sz w:val="22"/>
        </w:rPr>
        <w:t xml:space="preserve"> on later earnings </w:t>
      </w:r>
      <w:r>
        <w:rPr>
          <w:rFonts w:ascii="Calibri" w:hAnsi="Calibri"/>
          <w:b/>
          <w:i w:val="0"/>
          <w:color w:val="222732"/>
          <w:sz w:val="22"/>
        </w:rPr>
        <w:t>Y</w:t>
      </w:r>
      <w:r>
        <w:rPr>
          <w:rFonts w:ascii="Calibri" w:hAnsi="Calibri"/>
          <w:b w:val="0"/>
          <w:i w:val="0"/>
          <w:color w:val="222732"/>
          <w:sz w:val="22"/>
        </w:rPr>
        <w:t>. Their assumed DAG has the following directed edges (arrow = direct cause):</w:t>
      </w:r>
    </w:p>
    <w:p>
      <w:pPr>
        <w:spacing w:after="120"/>
      </w:pPr>
      <w:r>
        <w:rPr>
          <w:rFonts w:ascii="Consolas" w:hAnsi="Consolas"/>
          <w:b w:val="0"/>
          <w:i w:val="0"/>
          <w:color w:val="222732"/>
          <w:sz w:val="20"/>
        </w:rPr>
        <w:t xml:space="preserve">    W → T      W → Y      T → M → Y      T → Y      Y → H      M → H</w:t>
      </w:r>
    </w:p>
    <w:p>
      <w:pPr>
        <w:spacing w:after="120"/>
      </w:pPr>
      <w:r>
        <w:rPr>
          <w:rFonts w:ascii="Calibri" w:hAnsi="Calibri"/>
          <w:b w:val="0"/>
          <w:i w:val="0"/>
          <w:color w:val="222732"/>
          <w:sz w:val="22"/>
        </w:rPr>
        <w:t>Here W = prior work history (a common cause), M = skills gained during the program (a mediator), H = a post-program certification exam score, and there is a direct effect T → Y.</w:t>
      </w:r>
    </w:p>
    <w:p>
      <w:pPr>
        <w:spacing w:after="60"/>
      </w:pPr>
      <w:r>
        <w:rPr>
          <w:rFonts w:ascii="Calibri" w:hAnsi="Calibri"/>
          <w:b/>
          <w:i w:val="0"/>
          <w:color w:val="2F6DB5"/>
          <w:sz w:val="22"/>
        </w:rPr>
        <w:t xml:space="preserve">(a) </w:t>
      </w:r>
      <w:r>
        <w:rPr>
          <w:rFonts w:ascii="Calibri" w:hAnsi="Calibri"/>
          <w:b w:val="0"/>
          <w:i w:val="0"/>
          <w:color w:val="222732"/>
          <w:sz w:val="22"/>
        </w:rPr>
        <w:t>List every path (causal and non-causal) between T and Y. For each, say whether it is a directed/causal path or a back-door path.</w:t>
      </w:r>
      <w:r>
        <w:rPr>
          <w:rFonts w:ascii="Calibri" w:hAnsi="Calibri"/>
          <w:b/>
          <w:i w:val="0"/>
          <w:color w:val="E9A23B"/>
          <w:sz w:val="22"/>
        </w:rPr>
        <w:t xml:space="preserve">   [5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T → Y  —  directed (causal), the direct effect.</w:t>
      </w:r>
    </w:p>
    <w:p>
      <w:pPr>
        <w:pStyle w:val="ListBullet"/>
        <w:spacing w:after="60"/>
      </w:pPr>
      <w:r>
        <w:rPr>
          <w:rFonts w:ascii="Calibri" w:hAnsi="Calibri"/>
          <w:b w:val="0"/>
          <w:i w:val="0"/>
          <w:color w:val="222732"/>
          <w:sz w:val="22"/>
        </w:rPr>
        <w:t>T → M → Y  —  directed (causal), through the mediator.</w:t>
      </w:r>
    </w:p>
    <w:p>
      <w:pPr>
        <w:pStyle w:val="ListBullet"/>
        <w:spacing w:after="60"/>
      </w:pPr>
      <w:r>
        <w:rPr>
          <w:rFonts w:ascii="Calibri" w:hAnsi="Calibri"/>
          <w:b w:val="0"/>
          <w:i w:val="0"/>
          <w:color w:val="222732"/>
          <w:sz w:val="22"/>
        </w:rPr>
        <w:t>T ← W → Y  —  back-door path through the common cause W (non-causal).</w:t>
      </w:r>
    </w:p>
    <w:p>
      <w:pPr>
        <w:pStyle w:val="ListBullet"/>
        <w:spacing w:after="60"/>
      </w:pPr>
      <w:r>
        <w:rPr>
          <w:rFonts w:ascii="Calibri" w:hAnsi="Calibri"/>
          <w:b w:val="0"/>
          <w:i w:val="0"/>
          <w:color w:val="222732"/>
          <w:sz w:val="22"/>
        </w:rPr>
        <w:t>T → M → H ← Y is a path that reaches Y but ends by pointing into Y’s descendant H; the standard back-door paths to enumerate for confounding are the three above. H is a collider on M → H ← Y and is closed unless we condition on it.</w:t>
      </w:r>
    </w:p>
    <w:p>
      <w:pPr>
        <w:spacing w:after="60"/>
      </w:pPr>
      <w:r>
        <w:rPr>
          <w:rFonts w:ascii="Calibri" w:hAnsi="Calibri"/>
          <w:b/>
          <w:i w:val="0"/>
          <w:color w:val="2F6DB5"/>
          <w:sz w:val="22"/>
        </w:rPr>
        <w:t xml:space="preserve">(b) </w:t>
      </w:r>
      <w:r>
        <w:rPr>
          <w:rFonts w:ascii="Calibri" w:hAnsi="Calibri"/>
          <w:b w:val="0"/>
          <w:i w:val="0"/>
          <w:color w:val="222732"/>
          <w:sz w:val="22"/>
        </w:rPr>
        <w:t>With the empty conditioning set (adjust for nothing), classify each path in (a) as open or blocked. Is the crude T–Y association equal to the total causal effect? Why or why not?</w:t>
      </w:r>
      <w:r>
        <w:rPr>
          <w:rFonts w:ascii="Calibri" w:hAnsi="Calibri"/>
          <w:b/>
          <w:i w:val="0"/>
          <w:color w:val="E9A23B"/>
          <w:sz w:val="22"/>
        </w:rPr>
        <w:t xml:space="preserve">   [4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Empty set: T → Y open; T → M → Y open; T ← W → Y open (no collider on it, nothing blocks it).</w:t>
      </w:r>
    </w:p>
    <w:p>
      <w:pPr>
        <w:pStyle w:val="ListBullet"/>
        <w:spacing w:after="60"/>
      </w:pPr>
      <w:r>
        <w:rPr>
          <w:rFonts w:ascii="Calibri" w:hAnsi="Calibri"/>
          <w:b w:val="0"/>
          <w:i w:val="0"/>
          <w:color w:val="222732"/>
          <w:sz w:val="22"/>
        </w:rPr>
        <w:t>The collider path through H is blocked because H is an uncontrolled collider.</w:t>
      </w:r>
    </w:p>
    <w:p>
      <w:pPr>
        <w:pStyle w:val="ListBullet"/>
        <w:spacing w:after="60"/>
      </w:pPr>
      <w:r>
        <w:rPr>
          <w:rFonts w:ascii="Calibri" w:hAnsi="Calibri"/>
          <w:b w:val="0"/>
          <w:i w:val="0"/>
          <w:color w:val="222732"/>
          <w:sz w:val="22"/>
        </w:rPr>
        <w:t>The crude association does NOT equal the total effect: the back-door path T ← W → Y is open, so the association is confounded by W.</w:t>
      </w:r>
    </w:p>
    <w:p>
      <w:pPr>
        <w:spacing w:after="60"/>
      </w:pPr>
      <w:r>
        <w:rPr>
          <w:rFonts w:ascii="Calibri" w:hAnsi="Calibri"/>
          <w:b/>
          <w:i w:val="0"/>
          <w:color w:val="2F6DB5"/>
          <w:sz w:val="22"/>
        </w:rPr>
        <w:t xml:space="preserve">(c) </w:t>
      </w:r>
      <w:r>
        <w:rPr>
          <w:rFonts w:ascii="Calibri" w:hAnsi="Calibri"/>
          <w:b w:val="0"/>
          <w:i w:val="0"/>
          <w:color w:val="222732"/>
          <w:sz w:val="22"/>
        </w:rPr>
        <w:t>Give a valid back-door adjustment set for the TOTAL effect of T on Y, and justify it with the back-door criterion. Explain why you must NOT put the mediator M in the set if the total effect is the target.</w:t>
      </w:r>
      <w:r>
        <w:rPr>
          <w:rFonts w:ascii="Calibri" w:hAnsi="Calibri"/>
          <w:b/>
          <w:i w:val="0"/>
          <w:color w:val="E9A23B"/>
          <w:sz w:val="22"/>
        </w:rPr>
        <w:t xml:space="preserve">   [4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Adjust for {W}. It blocks the only back-door path (T ← W → Y) and contains no descendant of T, satisfying the back-door criterion.</w:t>
      </w:r>
    </w:p>
    <w:p>
      <w:pPr>
        <w:pStyle w:val="ListBullet"/>
        <w:spacing w:after="60"/>
      </w:pPr>
      <w:r>
        <w:rPr>
          <w:rFonts w:ascii="Calibri" w:hAnsi="Calibri"/>
          <w:b w:val="0"/>
          <w:i w:val="0"/>
          <w:color w:val="222732"/>
          <w:sz w:val="22"/>
        </w:rPr>
        <w:t>Do not include M: M lies on the causal path T → M → Y, so conditioning on it blocks part of the effect we want — that is over-control / mediation bias, leaving only the direct effect rather than the total effect.</w:t>
      </w:r>
    </w:p>
    <w:p>
      <w:pPr>
        <w:spacing w:after="60"/>
      </w:pPr>
      <w:r>
        <w:rPr>
          <w:rFonts w:ascii="Calibri" w:hAnsi="Calibri"/>
          <w:b/>
          <w:i w:val="0"/>
          <w:color w:val="2F6DB5"/>
          <w:sz w:val="22"/>
        </w:rPr>
        <w:t xml:space="preserve">(d) </w:t>
      </w:r>
      <w:r>
        <w:rPr>
          <w:rFonts w:ascii="Calibri" w:hAnsi="Calibri"/>
          <w:b w:val="0"/>
          <w:i w:val="0"/>
          <w:color w:val="222732"/>
          <w:sz w:val="22"/>
        </w:rPr>
        <w:t>Identify the collider in this graph and explain what goes wrong if an analyst, trying to "control for everything observable", adds it to the adjustment set {W, ...}. Name the bias.</w:t>
      </w:r>
      <w:r>
        <w:rPr>
          <w:rFonts w:ascii="Calibri" w:hAnsi="Calibri"/>
          <w:b/>
          <w:i w:val="0"/>
          <w:color w:val="E9A23B"/>
          <w:sz w:val="22"/>
        </w:rPr>
        <w:t xml:space="preserve">   [5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H is a collider: M → H ← Y (and T → M → H, Y → H).</w:t>
      </w:r>
    </w:p>
    <w:p>
      <w:pPr>
        <w:pStyle w:val="ListBullet"/>
        <w:spacing w:after="60"/>
      </w:pPr>
      <w:r>
        <w:rPr>
          <w:rFonts w:ascii="Calibri" w:hAnsi="Calibri"/>
          <w:b w:val="0"/>
          <w:i w:val="0"/>
          <w:color w:val="222732"/>
          <w:sz w:val="22"/>
        </w:rPr>
        <w:t>Conditioning on H opens the path M → H ← Y, inducing a spurious association between M (a descendant of T) and Y; this is collider / selection bias (also called M-bias-style over-adjustment).</w:t>
      </w:r>
    </w:p>
    <w:p>
      <w:pPr>
        <w:pStyle w:val="ListBullet"/>
        <w:spacing w:after="60"/>
      </w:pPr>
      <w:r>
        <w:rPr>
          <w:rFonts w:ascii="Calibri" w:hAnsi="Calibri"/>
          <w:b w:val="0"/>
          <w:i w:val="0"/>
          <w:color w:val="222732"/>
          <w:sz w:val="22"/>
        </w:rPr>
        <w:t>Because H is a descendant of both T (via M) and Y, adjusting for it also violates the back-door criterion and biases the estimated effect of T — controlling for it makes the estimate worse, not safer.</w:t>
      </w:r>
    </w:p>
    <w:p>
      <w:pPr>
        <w:spacing w:before="320" w:after="80"/>
        <w:pBdr>
          <w:left w:val="single" w:sz="18" w:space="8" w:color="2F6DB5"/>
        </w:pBdr>
        <w:ind w:left="115"/>
      </w:pPr>
      <w:r>
        <w:rPr>
          <w:rFonts w:ascii="Calibri" w:hAnsi="Calibri"/>
          <w:b/>
          <w:i w:val="0"/>
          <w:color w:val="1F2A44"/>
          <w:sz w:val="32"/>
        </w:rPr>
        <w:t>Section C — Potential outcomes &amp; estimands  (16 points)</w:t>
      </w:r>
    </w:p>
    <w:p>
      <w:pPr>
        <w:spacing w:before="120" w:after="40"/>
      </w:pPr>
      <w:r>
        <w:rPr>
          <w:rFonts w:ascii="Calibri" w:hAnsi="Calibri"/>
          <w:b/>
          <w:i w:val="0"/>
          <w:color w:val="2F6DB5"/>
          <w:sz w:val="22"/>
        </w:rPr>
        <w:t xml:space="preserve">4. </w:t>
      </w:r>
      <w:r>
        <w:rPr>
          <w:rFonts w:ascii="Calibri" w:hAnsi="Calibri"/>
          <w:b/>
          <w:i w:val="0"/>
          <w:color w:val="222732"/>
          <w:sz w:val="22"/>
        </w:rPr>
        <w:t>Estimands and their identifying assumptions</w:t>
      </w:r>
      <w:r>
        <w:rPr>
          <w:rFonts w:ascii="Calibri" w:hAnsi="Calibri"/>
          <w:b/>
          <w:i w:val="0"/>
          <w:color w:val="E9A23B"/>
          <w:sz w:val="22"/>
        </w:rPr>
        <w:t xml:space="preserve">   [16 pts]</w:t>
      </w:r>
    </w:p>
    <w:p>
      <w:pPr>
        <w:spacing w:after="120"/>
      </w:pPr>
      <w:r>
        <w:rPr>
          <w:rFonts w:ascii="Calibri" w:hAnsi="Calibri"/>
          <w:b w:val="0"/>
          <w:i w:val="0"/>
          <w:color w:val="222732"/>
          <w:sz w:val="22"/>
        </w:rPr>
        <w:t>A city offers an optional after-school tutoring program to 8th graders. The district wants to know its effect on a standardized math score Y. Let T = 1 if a student enrolls. Potential outcomes are Y(1) and Y(0).</w:t>
      </w:r>
    </w:p>
    <w:p>
      <w:pPr>
        <w:spacing w:after="60"/>
      </w:pPr>
      <w:r>
        <w:rPr>
          <w:rFonts w:ascii="Calibri" w:hAnsi="Calibri"/>
          <w:b/>
          <w:i w:val="0"/>
          <w:color w:val="2F6DB5"/>
          <w:sz w:val="22"/>
        </w:rPr>
        <w:t xml:space="preserve">(a) </w:t>
      </w:r>
      <w:r>
        <w:rPr>
          <w:rFonts w:ascii="Calibri" w:hAnsi="Calibri"/>
          <w:b w:val="0"/>
          <w:i w:val="0"/>
          <w:color w:val="222732"/>
          <w:sz w:val="22"/>
        </w:rPr>
        <w:t>Write the ATE, the ATT, and a CATE for first-generation students, each as an expectation of potential outcomes. State in one phrase the policy question each one answers.</w:t>
      </w:r>
      <w:r>
        <w:rPr>
          <w:rFonts w:ascii="Calibri" w:hAnsi="Calibri"/>
          <w:b/>
          <w:i w:val="0"/>
          <w:color w:val="E9A23B"/>
          <w:sz w:val="22"/>
        </w:rPr>
        <w:t xml:space="preserve">   [4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ATE = E[Y(1) − Y(0)]  — effect of enrolling everyone vs. no one (whole population).</w:t>
      </w:r>
    </w:p>
    <w:p>
      <w:pPr>
        <w:pStyle w:val="ListBullet"/>
        <w:spacing w:after="60"/>
      </w:pPr>
      <w:r>
        <w:rPr>
          <w:rFonts w:ascii="Calibri" w:hAnsi="Calibri"/>
          <w:b w:val="0"/>
          <w:i w:val="0"/>
          <w:color w:val="222732"/>
          <w:sz w:val="22"/>
        </w:rPr>
        <w:t>ATT = E[Y(1) − Y(0) | T = 1]  — effect among those who actually enrolled (e.g., should we keep funding the program for its current takers).</w:t>
      </w:r>
    </w:p>
    <w:p>
      <w:pPr>
        <w:pStyle w:val="ListBullet"/>
        <w:spacing w:after="60"/>
      </w:pPr>
      <w:r>
        <w:rPr>
          <w:rFonts w:ascii="Calibri" w:hAnsi="Calibri"/>
          <w:b w:val="0"/>
          <w:i w:val="0"/>
          <w:color w:val="222732"/>
          <w:sz w:val="22"/>
        </w:rPr>
        <w:t>CATE(x) = E[Y(1) − Y(0) | X = x]; for first-generation students, X = first-gen — the effect within that subgroup (targeting / equity question).</w:t>
      </w:r>
    </w:p>
    <w:p>
      <w:pPr>
        <w:spacing w:after="60"/>
      </w:pPr>
      <w:r>
        <w:rPr>
          <w:rFonts w:ascii="Calibri" w:hAnsi="Calibri"/>
          <w:b/>
          <w:i w:val="0"/>
          <w:color w:val="2F6DB5"/>
          <w:sz w:val="22"/>
        </w:rPr>
        <w:t xml:space="preserve">(b) </w:t>
      </w:r>
      <w:r>
        <w:rPr>
          <w:rFonts w:ascii="Calibri" w:hAnsi="Calibri"/>
          <w:b w:val="0"/>
          <w:i w:val="0"/>
          <w:color w:val="222732"/>
          <w:sz w:val="22"/>
        </w:rPr>
        <w:t>State the identifying assumptions under which the ATE is identified from observational data by adjusting for a covariate set X, and write the adjustment (g-formula / standardization) expression.</w:t>
      </w:r>
      <w:r>
        <w:rPr>
          <w:rFonts w:ascii="Calibri" w:hAnsi="Calibri"/>
          <w:b/>
          <w:i w:val="0"/>
          <w:color w:val="E9A23B"/>
          <w:sz w:val="22"/>
        </w:rPr>
        <w:t xml:space="preserve">   [5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Conditional exchangeability / no unmeasured confounding: {Y(1), Y(0)} ⫫ T | X.</w:t>
      </w:r>
    </w:p>
    <w:p>
      <w:pPr>
        <w:pStyle w:val="ListBullet"/>
        <w:spacing w:after="60"/>
      </w:pPr>
      <w:r>
        <w:rPr>
          <w:rFonts w:ascii="Calibri" w:hAnsi="Calibri"/>
          <w:b w:val="0"/>
          <w:i w:val="0"/>
          <w:color w:val="222732"/>
          <w:sz w:val="22"/>
        </w:rPr>
        <w:t>Positivity: 0 &lt; P(T = 1 | X = x) &lt; 1 for every x with positive density.</w:t>
      </w:r>
    </w:p>
    <w:p>
      <w:pPr>
        <w:pStyle w:val="ListBullet"/>
        <w:spacing w:after="60"/>
      </w:pPr>
      <w:r>
        <w:rPr>
          <w:rFonts w:ascii="Calibri" w:hAnsi="Calibri"/>
          <w:b w:val="0"/>
          <w:i w:val="0"/>
          <w:color w:val="222732"/>
          <w:sz w:val="22"/>
        </w:rPr>
        <w:t>Consistency / SUTVA: the observed Y equals Y(T), no interference, one version of treatment.</w:t>
      </w:r>
    </w:p>
    <w:p>
      <w:pPr>
        <w:pStyle w:val="ListBullet"/>
        <w:spacing w:after="60"/>
      </w:pPr>
      <w:r>
        <w:rPr>
          <w:rFonts w:ascii="Calibri" w:hAnsi="Calibri"/>
          <w:b w:val="0"/>
          <w:i w:val="0"/>
          <w:color w:val="222732"/>
          <w:sz w:val="22"/>
        </w:rPr>
        <w:t>Then ATE = E_X[ E[Y | T = 1, X] − E[Y | T = 0, X] ] (standardize the within-stratum contrasts over the distribution of X).</w:t>
      </w:r>
    </w:p>
    <w:p>
      <w:pPr>
        <w:spacing w:after="60"/>
      </w:pPr>
      <w:r>
        <w:rPr>
          <w:rFonts w:ascii="Calibri" w:hAnsi="Calibri"/>
          <w:b/>
          <w:i w:val="0"/>
          <w:color w:val="2F6DB5"/>
          <w:sz w:val="22"/>
        </w:rPr>
        <w:t xml:space="preserve">(c) </w:t>
      </w:r>
      <w:r>
        <w:rPr>
          <w:rFonts w:ascii="Calibri" w:hAnsi="Calibri"/>
          <w:b w:val="0"/>
          <w:i w:val="0"/>
          <w:color w:val="222732"/>
          <w:sz w:val="22"/>
        </w:rPr>
        <w:t>Positivity check. Suppose no first-generation student with a prior-year score below the 10th percentile ever enrolls. Which estimand is threatened, and why? What is the honest fix?</w:t>
      </w:r>
      <w:r>
        <w:rPr>
          <w:rFonts w:ascii="Calibri" w:hAnsi="Calibri"/>
          <w:b/>
          <w:i w:val="0"/>
          <w:color w:val="E9A23B"/>
          <w:sz w:val="22"/>
        </w:rPr>
        <w:t xml:space="preserve">   [4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Positivity is violated in that stratum (P(T = 1 | X) = 0): there are no enrolled students to estimate Y(1) for.</w:t>
      </w:r>
    </w:p>
    <w:p>
      <w:pPr>
        <w:pStyle w:val="ListBullet"/>
        <w:spacing w:after="60"/>
      </w:pPr>
      <w:r>
        <w:rPr>
          <w:rFonts w:ascii="Calibri" w:hAnsi="Calibri"/>
          <w:b w:val="0"/>
          <w:i w:val="0"/>
          <w:color w:val="222732"/>
          <w:sz w:val="22"/>
        </w:rPr>
        <w:t>The population ATE is threatened — it would require extrapolating Y(1) into a region with no treated support, which the data cannot support.</w:t>
      </w:r>
    </w:p>
    <w:p>
      <w:pPr>
        <w:pStyle w:val="ListBullet"/>
        <w:spacing w:after="60"/>
      </w:pPr>
      <w:r>
        <w:rPr>
          <w:rFonts w:ascii="Calibri" w:hAnsi="Calibri"/>
          <w:b w:val="0"/>
          <w:i w:val="0"/>
          <w:color w:val="222732"/>
          <w:sz w:val="22"/>
        </w:rPr>
        <w:t>Honest fix: redefine the target to the region of common support (e.g., estimate the ATT or an ATE restricted to strata with overlap) and report the trimmed population, rather than extrapolating a model.</w:t>
      </w:r>
    </w:p>
    <w:p>
      <w:pPr>
        <w:spacing w:after="60"/>
      </w:pPr>
      <w:r>
        <w:rPr>
          <w:rFonts w:ascii="Calibri" w:hAnsi="Calibri"/>
          <w:b/>
          <w:i w:val="0"/>
          <w:color w:val="2F6DB5"/>
          <w:sz w:val="22"/>
        </w:rPr>
        <w:t xml:space="preserve">(d) </w:t>
      </w:r>
      <w:r>
        <w:rPr>
          <w:rFonts w:ascii="Calibri" w:hAnsi="Calibri"/>
          <w:b w:val="0"/>
          <w:i w:val="0"/>
          <w:color w:val="222732"/>
          <w:sz w:val="22"/>
        </w:rPr>
        <w:t>SUTVA. Give one concrete, plausible way SUTVA could fail in THIS tutoring example, and say which part of SUTVA it violates.</w:t>
      </w:r>
      <w:r>
        <w:rPr>
          <w:rFonts w:ascii="Calibri" w:hAnsi="Calibri"/>
          <w:b/>
          <w:i w:val="0"/>
          <w:color w:val="E9A23B"/>
          <w:sz w:val="22"/>
        </w:rPr>
        <w:t xml:space="preserve">   [3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Interference / spillover: tutored students share methods or raise the class curve, changing untreated peers' outcomes — violates the no-interference part of SUTVA.</w:t>
      </w:r>
    </w:p>
    <w:p>
      <w:pPr>
        <w:pStyle w:val="ListBullet"/>
        <w:spacing w:after="60"/>
      </w:pPr>
      <w:r>
        <w:rPr>
          <w:rFonts w:ascii="Calibri" w:hAnsi="Calibri"/>
          <w:b w:val="0"/>
          <w:i w:val="0"/>
          <w:color w:val="222732"/>
          <w:sz w:val="22"/>
        </w:rPr>
        <w:t>(Alternatively) multiple versions of treatment: tutoring quality varies by tutor, so 'T = 1' is not a single well-defined intervention — violates the single-version / consistency part.</w:t>
      </w:r>
    </w:p>
    <w:p>
      <w:pPr>
        <w:spacing w:before="320" w:after="80"/>
        <w:pBdr>
          <w:left w:val="single" w:sz="18" w:space="8" w:color="2F6DB5"/>
        </w:pBdr>
        <w:ind w:left="115"/>
      </w:pPr>
      <w:r>
        <w:rPr>
          <w:rFonts w:ascii="Calibri" w:hAnsi="Calibri"/>
          <w:b/>
          <w:i w:val="0"/>
          <w:color w:val="1F2A44"/>
          <w:sz w:val="32"/>
        </w:rPr>
        <w:t>Section D — Randomized experiments &amp; A/B testing  (16 points)</w:t>
      </w:r>
    </w:p>
    <w:p>
      <w:pPr>
        <w:spacing w:before="120" w:after="40"/>
      </w:pPr>
      <w:r>
        <w:rPr>
          <w:rFonts w:ascii="Calibri" w:hAnsi="Calibri"/>
          <w:b/>
          <w:i w:val="0"/>
          <w:color w:val="2F6DB5"/>
          <w:sz w:val="22"/>
        </w:rPr>
        <w:t xml:space="preserve">5. </w:t>
      </w:r>
      <w:r>
        <w:rPr>
          <w:rFonts w:ascii="Calibri" w:hAnsi="Calibri"/>
          <w:b/>
          <w:i w:val="0"/>
          <w:color w:val="222732"/>
          <w:sz w:val="22"/>
        </w:rPr>
        <w:t>A/B test: power/MDE, variance reduction, and ITT</w:t>
      </w:r>
      <w:r>
        <w:rPr>
          <w:rFonts w:ascii="Calibri" w:hAnsi="Calibri"/>
          <w:b/>
          <w:i w:val="0"/>
          <w:color w:val="E9A23B"/>
          <w:sz w:val="22"/>
        </w:rPr>
        <w:t xml:space="preserve">   [16 pts]</w:t>
      </w:r>
    </w:p>
    <w:p>
      <w:pPr>
        <w:spacing w:after="120"/>
      </w:pPr>
      <w:r>
        <w:rPr>
          <w:rFonts w:ascii="Calibri" w:hAnsi="Calibri"/>
          <w:b w:val="0"/>
          <w:i w:val="0"/>
          <w:color w:val="222732"/>
          <w:sz w:val="22"/>
        </w:rPr>
        <w:t>A product team runs a 50/50 A/B test of a checkout redesign. The outcome is revenue per visitor. They will need power for the analysis below.</w:t>
      </w:r>
    </w:p>
    <w:p>
      <w:pPr>
        <w:spacing w:after="60"/>
      </w:pPr>
      <w:r>
        <w:rPr>
          <w:rFonts w:ascii="Calibri" w:hAnsi="Calibri"/>
          <w:b/>
          <w:i w:val="0"/>
          <w:color w:val="2F6DB5"/>
          <w:sz w:val="22"/>
        </w:rPr>
        <w:t xml:space="preserve">(a) </w:t>
      </w:r>
      <w:r>
        <w:rPr>
          <w:rFonts w:ascii="Calibri" w:hAnsi="Calibri"/>
          <w:b w:val="0"/>
          <w:i w:val="0"/>
          <w:color w:val="222732"/>
          <w:sz w:val="22"/>
        </w:rPr>
        <w:t>For a two-sided test at level α with power 1 − β, comparing two equal-sized groups of n each, the minimum detectable effect (MDE) on the difference in means is approximately</w:t>
      </w:r>
      <w:r>
        <w:rPr>
          <w:rFonts w:ascii="Calibri" w:hAnsi="Calibri"/>
          <w:b/>
          <w:i w:val="0"/>
          <w:color w:val="E9A23B"/>
          <w:sz w:val="22"/>
        </w:rPr>
        <w:t xml:space="preserve">   [5 pts]</w:t>
      </w:r>
    </w:p>
    <w:p>
      <w:pPr>
        <w:spacing w:after="60"/>
      </w:pPr>
      <w:r>
        <w:rPr>
          <w:rFonts w:ascii="Consolas" w:hAnsi="Consolas"/>
          <w:b w:val="0"/>
          <w:i w:val="0"/>
          <w:color w:val="222732"/>
          <w:sz w:val="20"/>
        </w:rPr>
        <w:t xml:space="preserve">    MDE ≈ (z_{1−α/2} + z_{1−β}) · σ · √(2 / n).</w:t>
      </w:r>
    </w:p>
    <w:p>
      <w:pPr>
        <w:spacing w:after="60"/>
      </w:pPr>
      <w:r>
        <w:rPr>
          <w:rFonts w:ascii="Calibri" w:hAnsi="Calibri"/>
          <w:b w:val="0"/>
          <w:i w:val="0"/>
          <w:color w:val="222732"/>
          <w:sz w:val="22"/>
        </w:rPr>
        <w:t>Using z_{0.975} = 1.96 and z_{0.80} = 0.84, by what factor must n increase to detect an effect HALF as large, holding α, β, σ fixed? Show the reasoning.</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MDE ∝ 1/√n, so to halve the MDE you need √n to double, i.e. n must increase by a factor of 2² = 4.</w:t>
      </w:r>
    </w:p>
    <w:p>
      <w:pPr>
        <w:pStyle w:val="ListBullet"/>
        <w:spacing w:after="60"/>
      </w:pPr>
      <w:r>
        <w:rPr>
          <w:rFonts w:ascii="Calibri" w:hAnsi="Calibri"/>
          <w:b w:val="0"/>
          <w:i w:val="0"/>
          <w:color w:val="222732"/>
          <w:sz w:val="22"/>
        </w:rPr>
        <w:t>Quantitatively: MDE_2/MDE_1 = √(n_1/n_2) = 1/2 ⇒ n_2 = 4·n_1. (The constant (1.96 + 0.84) = 2.8 cancels.)</w:t>
      </w:r>
    </w:p>
    <w:p>
      <w:pPr>
        <w:spacing w:after="60"/>
      </w:pPr>
      <w:r>
        <w:rPr>
          <w:rFonts w:ascii="Calibri" w:hAnsi="Calibri"/>
          <w:b/>
          <w:i w:val="0"/>
          <w:color w:val="2F6DB5"/>
          <w:sz w:val="22"/>
        </w:rPr>
        <w:t xml:space="preserve">(b) </w:t>
      </w:r>
      <w:r>
        <w:rPr>
          <w:rFonts w:ascii="Calibri" w:hAnsi="Calibri"/>
          <w:b w:val="0"/>
          <w:i w:val="0"/>
          <w:color w:val="222732"/>
          <w:sz w:val="22"/>
        </w:rPr>
        <w:t>CUPED. The team has each visitor's PRE-experiment spend, which correlates ρ = 0.6 with the outcome. CUPED adjusts the outcome using this covariate. By what factor does the variance of the estimated effect shrink, and hence by what factor can the required sample size shrink for the same power? (Var reduction factor = 1 − ρ².)</w:t>
      </w:r>
      <w:r>
        <w:rPr>
          <w:rFonts w:ascii="Calibri" w:hAnsi="Calibri"/>
          <w:b/>
          <w:i w:val="0"/>
          <w:color w:val="E9A23B"/>
          <w:sz w:val="22"/>
        </w:rPr>
        <w:t xml:space="preserve">   [5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Variance is multiplied by (1 − ρ²) = 1 − 0.36 = 0.64 — a 36% reduction in the variance of the effect estimate.</w:t>
      </w:r>
    </w:p>
    <w:p>
      <w:pPr>
        <w:pStyle w:val="ListBullet"/>
        <w:spacing w:after="60"/>
      </w:pPr>
      <w:r>
        <w:rPr>
          <w:rFonts w:ascii="Calibri" w:hAnsi="Calibri"/>
          <w:b w:val="0"/>
          <w:i w:val="0"/>
          <w:color w:val="222732"/>
          <w:sz w:val="22"/>
        </w:rPr>
        <w:t>Required n scales with the variance for fixed power, so n can shrink by the same factor: n_new ≈ 0.64·n_old (about a 36% smaller sample for the same MDE/power).</w:t>
      </w:r>
    </w:p>
    <w:p>
      <w:pPr>
        <w:pStyle w:val="ListBullet"/>
        <w:spacing w:after="60"/>
      </w:pPr>
      <w:r>
        <w:rPr>
          <w:rFonts w:ascii="Calibri" w:hAnsi="Calibri"/>
          <w:b w:val="0"/>
          <w:i w:val="0"/>
          <w:color w:val="222732"/>
          <w:sz w:val="22"/>
        </w:rPr>
        <w:t>Why it is valid: the pre-period covariate is measured before randomization, so it cannot be affected by treatment — adjusting for it removes noise without introducing bias.</w:t>
      </w:r>
    </w:p>
    <w:p>
      <w:pPr>
        <w:spacing w:after="60"/>
      </w:pPr>
      <w:r>
        <w:rPr>
          <w:rFonts w:ascii="Calibri" w:hAnsi="Calibri"/>
          <w:b/>
          <w:i w:val="0"/>
          <w:color w:val="2F6DB5"/>
          <w:sz w:val="22"/>
        </w:rPr>
        <w:t xml:space="preserve">(c) </w:t>
      </w:r>
      <w:r>
        <w:rPr>
          <w:rFonts w:ascii="Calibri" w:hAnsi="Calibri"/>
          <w:b w:val="0"/>
          <w:i w:val="0"/>
          <w:color w:val="222732"/>
          <w:sz w:val="22"/>
        </w:rPr>
        <w:t>Noncompliance. 20% of visitors assigned to the new checkout fall back to the old one (the assignment did not 'take'); the control group all see the old one. Define the ITT and the per-protocol estimates here, say which one randomization protects, and explain the direction of bias if the fallback visitors are systematically different (e.g., mobile users on poor connections).</w:t>
      </w:r>
      <w:r>
        <w:rPr>
          <w:rFonts w:ascii="Calibri" w:hAnsi="Calibri"/>
          <w:b/>
          <w:i w:val="0"/>
          <w:color w:val="E9A23B"/>
          <w:sz w:val="22"/>
        </w:rPr>
        <w:t xml:space="preserve">   [6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ITT (intention-to-treat): compare outcomes by ASSIGNED group regardless of which checkout they actually used — the effect of being offered the redesign.</w:t>
      </w:r>
    </w:p>
    <w:p>
      <w:pPr>
        <w:pStyle w:val="ListBullet"/>
        <w:spacing w:after="60"/>
      </w:pPr>
      <w:r>
        <w:rPr>
          <w:rFonts w:ascii="Calibri" w:hAnsi="Calibri"/>
          <w:b w:val="0"/>
          <w:i w:val="0"/>
          <w:color w:val="222732"/>
          <w:sz w:val="22"/>
        </w:rPr>
        <w:t>Per-protocol: compare those who actually used the new checkout vs. controls (dropping/exposing only compliers).</w:t>
      </w:r>
    </w:p>
    <w:p>
      <w:pPr>
        <w:pStyle w:val="ListBullet"/>
        <w:spacing w:after="60"/>
      </w:pPr>
      <w:r>
        <w:rPr>
          <w:rFonts w:ascii="Calibri" w:hAnsi="Calibri"/>
          <w:b w:val="0"/>
          <w:i w:val="0"/>
          <w:color w:val="222732"/>
          <w:sz w:val="22"/>
        </w:rPr>
        <w:t>Randomization protects the ITT: assignment is random, so the ITT contrast is unconfounded by design.</w:t>
      </w:r>
    </w:p>
    <w:p>
      <w:pPr>
        <w:pStyle w:val="ListBullet"/>
        <w:spacing w:after="60"/>
      </w:pPr>
      <w:r>
        <w:rPr>
          <w:rFonts w:ascii="Calibri" w:hAnsi="Calibri"/>
          <w:b w:val="0"/>
          <w:i w:val="0"/>
          <w:color w:val="222732"/>
          <w:sz w:val="22"/>
        </w:rPr>
        <w:t>Per-protocol breaks randomization: keeping only compliers conditions on a post-randomization variable. If fallback users are systematically worse (poor-connection mobile users with lower revenue), dropping them leaves a healthier-looking treated group, biasing the per-protocol estimate away from null (overstating the redesign's benefit). ITT remains valid but dilutes toward the null.</w:t>
      </w:r>
    </w:p>
    <w:p>
      <w:pPr>
        <w:spacing w:before="320" w:after="80"/>
        <w:pBdr>
          <w:left w:val="single" w:sz="18" w:space="8" w:color="2F6DB5"/>
        </w:pBdr>
        <w:ind w:left="115"/>
      </w:pPr>
      <w:r>
        <w:rPr>
          <w:rFonts w:ascii="Calibri" w:hAnsi="Calibri"/>
          <w:b/>
          <w:i w:val="0"/>
          <w:color w:val="1F2A44"/>
          <w:sz w:val="32"/>
        </w:rPr>
        <w:t>Section E — Regression &amp; adjustment  (14 points)</w:t>
      </w:r>
    </w:p>
    <w:p>
      <w:pPr>
        <w:spacing w:before="120" w:after="40"/>
      </w:pPr>
      <w:r>
        <w:rPr>
          <w:rFonts w:ascii="Calibri" w:hAnsi="Calibri"/>
          <w:b/>
          <w:i w:val="0"/>
          <w:color w:val="2F6DB5"/>
          <w:sz w:val="22"/>
        </w:rPr>
        <w:t xml:space="preserve">6. </w:t>
      </w:r>
      <w:r>
        <w:rPr>
          <w:rFonts w:ascii="Calibri" w:hAnsi="Calibri"/>
          <w:b/>
          <w:i w:val="0"/>
          <w:color w:val="222732"/>
          <w:sz w:val="22"/>
        </w:rPr>
        <w:t>Choosing controls and the Table 2 fallacy</w:t>
      </w:r>
      <w:r>
        <w:rPr>
          <w:rFonts w:ascii="Calibri" w:hAnsi="Calibri"/>
          <w:b/>
          <w:i w:val="0"/>
          <w:color w:val="E9A23B"/>
          <w:sz w:val="22"/>
        </w:rPr>
        <w:t xml:space="preserve">   [14 pts]</w:t>
      </w:r>
    </w:p>
    <w:p>
      <w:pPr>
        <w:spacing w:after="120"/>
      </w:pPr>
      <w:r>
        <w:rPr>
          <w:rFonts w:ascii="Calibri" w:hAnsi="Calibri"/>
          <w:b w:val="0"/>
          <w:i w:val="0"/>
          <w:color w:val="222732"/>
          <w:sz w:val="22"/>
        </w:rPr>
        <w:t>A researcher regresses an outcome Y on a treatment T and wants to decide which of several variables to include as controls. Using the SAME DAG as Question 3 (W → T, W → Y, T → M → Y, T → Y, Y → H, M → H), classify each candidate.</w:t>
      </w:r>
    </w:p>
    <w:p>
      <w:pPr>
        <w:spacing w:after="40"/>
      </w:pPr>
      <w:r>
        <w:rPr>
          <w:rFonts w:ascii="Calibri" w:hAnsi="Calibri"/>
          <w:b w:val="0"/>
          <w:i/>
          <w:color w:val="7F8694"/>
          <w:sz w:val="22"/>
        </w:rPr>
        <w:t>Candidate controls (total effect of T on Y is the target)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Pr>
                <w:rFonts w:ascii="Calibri" w:hAnsi="Calibri"/>
                <w:b/>
                <w:i w:val="0"/>
                <w:color w:val="FFFFFF"/>
                <w:sz w:val="21"/>
              </w:rPr>
              <w:t>Variable</w:t>
            </w:r>
          </w:p>
        </w:tc>
        <w:tc>
          <w:tcPr>
            <w:tcW w:type="dxa" w:w="3216"/>
            <w:shd w:val="clear" w:color="auto" w:fill="1F2A44"/>
          </w:tcPr>
          <w:p>
            <w:r>
              <w:rPr>
                <w:rFonts w:ascii="Calibri" w:hAnsi="Calibri"/>
                <w:b/>
                <w:i w:val="0"/>
                <w:color w:val="FFFFFF"/>
                <w:sz w:val="21"/>
              </w:rPr>
              <w:t>Role w.r.t. T → Y</w:t>
            </w:r>
          </w:p>
        </w:tc>
        <w:tc>
          <w:tcPr>
            <w:tcW w:type="dxa" w:w="3216"/>
            <w:shd w:val="clear" w:color="auto" w:fill="1F2A44"/>
          </w:tcPr>
          <w:p>
            <w:r>
              <w:rPr>
                <w:rFonts w:ascii="Calibri" w:hAnsi="Calibri"/>
                <w:b/>
                <w:i w:val="0"/>
                <w:color w:val="FFFFFF"/>
                <w:sz w:val="21"/>
              </w:rPr>
              <w:t>Include for the total effect?</w:t>
            </w:r>
          </w:p>
        </w:tc>
      </w:tr>
      <w:tr>
        <w:tc>
          <w:tcPr>
            <w:tcW w:type="dxa" w:w="3216"/>
          </w:tcPr>
          <w:p>
            <w:r>
              <w:rPr>
                <w:rFonts w:ascii="Calibri" w:hAnsi="Calibri"/>
                <w:b w:val="0"/>
                <w:i w:val="0"/>
                <w:color w:val="222732"/>
                <w:sz w:val="21"/>
              </w:rPr>
              <w:t>W (work history)</w:t>
            </w:r>
          </w:p>
        </w:tc>
        <w:tc>
          <w:tcPr>
            <w:tcW w:type="dxa" w:w="3216"/>
          </w:tcPr>
          <w:p>
            <w:r>
              <w:rPr>
                <w:rFonts w:ascii="Calibri" w:hAnsi="Calibri"/>
                <w:b w:val="0"/>
                <w:i w:val="0"/>
                <w:color w:val="222732"/>
                <w:sz w:val="21"/>
              </w:rPr>
              <w:t>Confounder (common cause of T and Y)</w:t>
            </w:r>
          </w:p>
        </w:tc>
        <w:tc>
          <w:tcPr>
            <w:tcW w:type="dxa" w:w="3216"/>
          </w:tcPr>
          <w:p>
            <w:r>
              <w:rPr>
                <w:rFonts w:ascii="Calibri" w:hAnsi="Calibri"/>
                <w:b w:val="0"/>
                <w:i w:val="0"/>
                <w:color w:val="222732"/>
                <w:sz w:val="21"/>
              </w:rPr>
              <w:t>Yes — adjusting removes back-door bias</w:t>
            </w:r>
          </w:p>
        </w:tc>
      </w:tr>
      <w:tr>
        <w:tc>
          <w:tcPr>
            <w:tcW w:type="dxa" w:w="3216"/>
            <w:shd w:val="clear" w:color="auto" w:fill="ECEEF2"/>
          </w:tcPr>
          <w:p>
            <w:r>
              <w:rPr>
                <w:rFonts w:ascii="Calibri" w:hAnsi="Calibri"/>
                <w:b w:val="0"/>
                <w:i w:val="0"/>
                <w:color w:val="222732"/>
                <w:sz w:val="21"/>
              </w:rPr>
              <w:t>M (skills gained)</w:t>
            </w:r>
          </w:p>
        </w:tc>
        <w:tc>
          <w:tcPr>
            <w:tcW w:type="dxa" w:w="3216"/>
            <w:shd w:val="clear" w:color="auto" w:fill="ECEEF2"/>
          </w:tcPr>
          <w:p>
            <w:r>
              <w:rPr>
                <w:rFonts w:ascii="Calibri" w:hAnsi="Calibri"/>
                <w:b w:val="0"/>
                <w:i w:val="0"/>
                <w:color w:val="222732"/>
                <w:sz w:val="21"/>
              </w:rPr>
              <w:t>Mediator (on the causal path T→M→Y)</w:t>
            </w:r>
          </w:p>
        </w:tc>
        <w:tc>
          <w:tcPr>
            <w:tcW w:type="dxa" w:w="3216"/>
            <w:shd w:val="clear" w:color="auto" w:fill="ECEEF2"/>
          </w:tcPr>
          <w:p>
            <w:r>
              <w:rPr>
                <w:rFonts w:ascii="Calibri" w:hAnsi="Calibri"/>
                <w:b w:val="0"/>
                <w:i w:val="0"/>
                <w:color w:val="222732"/>
                <w:sz w:val="21"/>
              </w:rPr>
              <w:t>No — blocks part of the total effect (over-control)</w:t>
            </w:r>
          </w:p>
        </w:tc>
      </w:tr>
      <w:tr>
        <w:tc>
          <w:tcPr>
            <w:tcW w:type="dxa" w:w="3216"/>
          </w:tcPr>
          <w:p>
            <w:r>
              <w:rPr>
                <w:rFonts w:ascii="Calibri" w:hAnsi="Calibri"/>
                <w:b w:val="0"/>
                <w:i w:val="0"/>
                <w:color w:val="222732"/>
                <w:sz w:val="21"/>
              </w:rPr>
              <w:t>H (exam score)</w:t>
            </w:r>
          </w:p>
        </w:tc>
        <w:tc>
          <w:tcPr>
            <w:tcW w:type="dxa" w:w="3216"/>
          </w:tcPr>
          <w:p>
            <w:r>
              <w:rPr>
                <w:rFonts w:ascii="Calibri" w:hAnsi="Calibri"/>
                <w:b w:val="0"/>
                <w:i w:val="0"/>
                <w:color w:val="222732"/>
                <w:sz w:val="21"/>
              </w:rPr>
              <w:t>Collider / descendant of Y and M</w:t>
            </w:r>
          </w:p>
        </w:tc>
        <w:tc>
          <w:tcPr>
            <w:tcW w:type="dxa" w:w="3216"/>
          </w:tcPr>
          <w:p>
            <w:r>
              <w:rPr>
                <w:rFonts w:ascii="Calibri" w:hAnsi="Calibri"/>
                <w:b w:val="0"/>
                <w:i w:val="0"/>
                <w:color w:val="222732"/>
                <w:sz w:val="21"/>
              </w:rPr>
              <w:t>No — opens a path and induces selection bias</w:t>
            </w:r>
          </w:p>
        </w:tc>
      </w:tr>
      <w:tr>
        <w:tc>
          <w:tcPr>
            <w:tcW w:type="dxa" w:w="3216"/>
            <w:shd w:val="clear" w:color="auto" w:fill="ECEEF2"/>
          </w:tcPr>
          <w:p>
            <w:r>
              <w:rPr>
                <w:rFonts w:ascii="Calibri" w:hAnsi="Calibri"/>
                <w:b w:val="0"/>
                <w:i w:val="0"/>
                <w:color w:val="222732"/>
                <w:sz w:val="21"/>
              </w:rPr>
              <w:t>Z (a pre-T variable affecting only Y)</w:t>
            </w:r>
          </w:p>
        </w:tc>
        <w:tc>
          <w:tcPr>
            <w:tcW w:type="dxa" w:w="3216"/>
            <w:shd w:val="clear" w:color="auto" w:fill="ECEEF2"/>
          </w:tcPr>
          <w:p>
            <w:r>
              <w:rPr>
                <w:rFonts w:ascii="Calibri" w:hAnsi="Calibri"/>
                <w:b w:val="0"/>
                <w:i w:val="0"/>
                <w:color w:val="222732"/>
                <w:sz w:val="21"/>
              </w:rPr>
              <w:t>Neutral / precision covariate (predicts Y, not T)</w:t>
            </w:r>
          </w:p>
        </w:tc>
        <w:tc>
          <w:tcPr>
            <w:tcW w:type="dxa" w:w="3216"/>
            <w:shd w:val="clear" w:color="auto" w:fill="ECEEF2"/>
          </w:tcPr>
          <w:p>
            <w:r>
              <w:rPr>
                <w:rFonts w:ascii="Calibri" w:hAnsi="Calibri"/>
                <w:b w:val="0"/>
                <w:i w:val="0"/>
                <w:color w:val="222732"/>
                <w:sz w:val="21"/>
              </w:rPr>
              <w:t>Optional — harmless, often improves precision</w:t>
            </w:r>
          </w:p>
        </w:tc>
      </w:tr>
    </w:tbl>
    <w:p>
      <w:pPr>
        <w:spacing w:after="40"/>
      </w:pPr>
    </w:p>
    <w:p>
      <w:pPr>
        <w:spacing w:after="60"/>
      </w:pPr>
      <w:r>
        <w:rPr>
          <w:rFonts w:ascii="Calibri" w:hAnsi="Calibri"/>
          <w:b/>
          <w:i w:val="0"/>
          <w:color w:val="2F6DB5"/>
          <w:sz w:val="22"/>
        </w:rPr>
        <w:t xml:space="preserve">(a) </w:t>
      </w:r>
      <w:r>
        <w:rPr>
          <w:rFonts w:ascii="Calibri" w:hAnsi="Calibri"/>
          <w:b w:val="0"/>
          <w:i w:val="0"/>
          <w:color w:val="222732"/>
          <w:sz w:val="22"/>
        </w:rPr>
        <w:t>Reproduce the right-most column of the table above in your booklet (Include? Yes/No/Optional) and give a one-clause reason for each of W, M, H, Z.</w:t>
      </w:r>
      <w:r>
        <w:rPr>
          <w:rFonts w:ascii="Calibri" w:hAnsi="Calibri"/>
          <w:b/>
          <w:i w:val="0"/>
          <w:color w:val="E9A23B"/>
          <w:sz w:val="22"/>
        </w:rPr>
        <w:t xml:space="preserve">   [8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W — Yes: it is a confounder; adjusting blocks the back-door path T ← W → Y.</w:t>
      </w:r>
    </w:p>
    <w:p>
      <w:pPr>
        <w:pStyle w:val="ListBullet"/>
        <w:spacing w:after="60"/>
      </w:pPr>
      <w:r>
        <w:rPr>
          <w:rFonts w:ascii="Calibri" w:hAnsi="Calibri"/>
          <w:b w:val="0"/>
          <w:i w:val="0"/>
          <w:color w:val="222732"/>
          <w:sz w:val="22"/>
        </w:rPr>
        <w:t>M — No: it is a mediator; controlling for it removes the indirect part of the total effect (leaves only the direct effect).</w:t>
      </w:r>
    </w:p>
    <w:p>
      <w:pPr>
        <w:pStyle w:val="ListBullet"/>
        <w:spacing w:after="60"/>
      </w:pPr>
      <w:r>
        <w:rPr>
          <w:rFonts w:ascii="Calibri" w:hAnsi="Calibri"/>
          <w:b w:val="0"/>
          <w:i w:val="0"/>
          <w:color w:val="222732"/>
          <w:sz w:val="22"/>
        </w:rPr>
        <w:t>H — No: it is a collider / descendant of the outcome; controlling for it opens M → H ← Y and induces selection bias.</w:t>
      </w:r>
    </w:p>
    <w:p>
      <w:pPr>
        <w:pStyle w:val="ListBullet"/>
        <w:spacing w:after="60"/>
      </w:pPr>
      <w:r>
        <w:rPr>
          <w:rFonts w:ascii="Calibri" w:hAnsi="Calibri"/>
          <w:b w:val="0"/>
          <w:i w:val="0"/>
          <w:color w:val="222732"/>
          <w:sz w:val="22"/>
        </w:rPr>
        <w:t>Z — Optional: a pre-treatment predictor of Y only; it does not affect bias but reduces residual variance, improving precision (a good 'neutral' control).</w:t>
      </w:r>
    </w:p>
    <w:p>
      <w:pPr>
        <w:spacing w:after="60"/>
      </w:pPr>
      <w:r>
        <w:rPr>
          <w:rFonts w:ascii="Calibri" w:hAnsi="Calibri"/>
          <w:b/>
          <w:i w:val="0"/>
          <w:color w:val="2F6DB5"/>
          <w:sz w:val="22"/>
        </w:rPr>
        <w:t xml:space="preserve">(b) </w:t>
      </w:r>
      <w:r>
        <w:rPr>
          <w:rFonts w:ascii="Calibri" w:hAnsi="Calibri"/>
          <w:b w:val="0"/>
          <w:i w:val="0"/>
          <w:color w:val="222732"/>
          <w:sz w:val="22"/>
        </w:rPr>
        <w:t>State the Table 2 fallacy. The researcher's regression of Y on (T, W) reports a coefficient on W as well as on T, and the write-up interprets the W coefficient as 'the causal effect of work history.' Explain why that interpretation is unjustified even though the SAME model gives a valid estimate of the effect of T.</w:t>
      </w:r>
      <w:r>
        <w:rPr>
          <w:rFonts w:ascii="Calibri" w:hAnsi="Calibri"/>
          <w:b/>
          <w:i w:val="0"/>
          <w:color w:val="E9A23B"/>
          <w:sz w:val="22"/>
        </w:rPr>
        <w:t xml:space="preserve">   [6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The Table 2 fallacy: reading every coefficient in a single adjusted model as a causal effect, when the model was only designed to identify ONE of them (the effect of T).</w:t>
      </w:r>
    </w:p>
    <w:p>
      <w:pPr>
        <w:pStyle w:val="ListBullet"/>
        <w:spacing w:after="60"/>
      </w:pPr>
      <w:r>
        <w:rPr>
          <w:rFonts w:ascii="Calibri" w:hAnsi="Calibri"/>
          <w:b w:val="0"/>
          <w:i w:val="0"/>
          <w:color w:val="222732"/>
          <w:sz w:val="22"/>
        </w:rPr>
        <w:t>The set {W} satisfies the back-door criterion for T → Y, so the T coefficient is a valid (conditional) effect of T. But the W coefficient is the effect of W holding T fixed — and the model does not adjust for W's own confounders, nor is T (a mediator/descendant of W via T → Y) an appropriate thing to hold fixed when estimating W's total effect.</w:t>
      </w:r>
    </w:p>
    <w:p>
      <w:pPr>
        <w:pStyle w:val="ListBullet"/>
        <w:spacing w:after="60"/>
      </w:pPr>
      <w:r>
        <w:rPr>
          <w:rFonts w:ascii="Calibri" w:hAnsi="Calibri"/>
          <w:b w:val="0"/>
          <w:i w:val="0"/>
          <w:color w:val="222732"/>
          <w:sz w:val="22"/>
        </w:rPr>
        <w:t>So the W coefficient mixes W's direct effect with bias from uncontrolled confounding of W and from conditioning on a mediator of W; it should not be reported as a causal effect of work history.</w:t>
      </w:r>
    </w:p>
    <w:p>
      <w:pPr>
        <w:spacing w:before="320" w:after="80"/>
        <w:pBdr>
          <w:left w:val="single" w:sz="18" w:space="8" w:color="2F6DB5"/>
        </w:pBdr>
        <w:ind w:left="115"/>
      </w:pPr>
      <w:r>
        <w:rPr>
          <w:rFonts w:ascii="Calibri" w:hAnsi="Calibri"/>
          <w:b/>
          <w:i w:val="0"/>
          <w:color w:val="1F2A44"/>
          <w:sz w:val="32"/>
        </w:rPr>
        <w:t>Section F — Matching, propensity scores &amp; weighting  (18 points)</w:t>
      </w:r>
    </w:p>
    <w:p>
      <w:pPr>
        <w:spacing w:before="120" w:after="40"/>
      </w:pPr>
      <w:r>
        <w:rPr>
          <w:rFonts w:ascii="Calibri" w:hAnsi="Calibri"/>
          <w:b/>
          <w:i w:val="0"/>
          <w:color w:val="2F6DB5"/>
          <w:sz w:val="22"/>
        </w:rPr>
        <w:t xml:space="preserve">7. </w:t>
      </w:r>
      <w:r>
        <w:rPr>
          <w:rFonts w:ascii="Calibri" w:hAnsi="Calibri"/>
          <w:b/>
          <w:i w:val="0"/>
          <w:color w:val="222732"/>
          <w:sz w:val="22"/>
        </w:rPr>
        <w:t>Propensity scores: the balancing property and overlap</w:t>
      </w:r>
      <w:r>
        <w:rPr>
          <w:rFonts w:ascii="Calibri" w:hAnsi="Calibri"/>
          <w:b/>
          <w:i w:val="0"/>
          <w:color w:val="E9A23B"/>
          <w:sz w:val="22"/>
        </w:rPr>
        <w:t xml:space="preserve">   [10 pts]</w:t>
      </w:r>
    </w:p>
    <w:p>
      <w:pPr>
        <w:spacing w:after="60"/>
      </w:pPr>
      <w:r>
        <w:rPr>
          <w:rFonts w:ascii="Calibri" w:hAnsi="Calibri"/>
          <w:b/>
          <w:i w:val="0"/>
          <w:color w:val="2F6DB5"/>
          <w:sz w:val="22"/>
        </w:rPr>
        <w:t xml:space="preserve">(a) </w:t>
      </w:r>
      <w:r>
        <w:rPr>
          <w:rFonts w:ascii="Calibri" w:hAnsi="Calibri"/>
          <w:b w:val="0"/>
          <w:i w:val="0"/>
          <w:color w:val="222732"/>
          <w:sz w:val="22"/>
        </w:rPr>
        <w:t>State the balancing property of the propensity score e(X) = P(T = 1 | X). What does it let you do that matching on the full covariate vector X does not, and why is that practically useful in high dimensions?</w:t>
      </w:r>
      <w:r>
        <w:rPr>
          <w:rFonts w:ascii="Calibri" w:hAnsi="Calibri"/>
          <w:b/>
          <w:i w:val="0"/>
          <w:color w:val="E9A23B"/>
          <w:sz w:val="22"/>
        </w:rPr>
        <w:t xml:space="preserve">   [4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Balancing property: T ⫫ X | e(X) — conditional on the (true) propensity score, treatment is independent of X, so treated and control units with the same e(X) have the same covariate distribution on average.</w:t>
      </w:r>
    </w:p>
    <w:p>
      <w:pPr>
        <w:pStyle w:val="ListBullet"/>
        <w:spacing w:after="60"/>
      </w:pPr>
      <w:r>
        <w:rPr>
          <w:rFonts w:ascii="Calibri" w:hAnsi="Calibri"/>
          <w:b w:val="0"/>
          <w:i w:val="0"/>
          <w:color w:val="222732"/>
          <w:sz w:val="22"/>
        </w:rPr>
        <w:t>It reduces a high-dimensional matching problem to balancing on a single scalar e(X) instead of the full vector X.</w:t>
      </w:r>
    </w:p>
    <w:p>
      <w:pPr>
        <w:pStyle w:val="ListBullet"/>
        <w:spacing w:after="60"/>
      </w:pPr>
      <w:r>
        <w:rPr>
          <w:rFonts w:ascii="Calibri" w:hAnsi="Calibri"/>
          <w:b w:val="0"/>
          <w:i w:val="0"/>
          <w:color w:val="222732"/>
          <w:sz w:val="22"/>
        </w:rPr>
        <w:t>Practically useful because exact/near matching on many covariates suffers the curse of dimensionality (few exact matches); the scalar score makes overlap and balance tractable.</w:t>
      </w:r>
    </w:p>
    <w:p>
      <w:pPr>
        <w:spacing w:after="60"/>
      </w:pPr>
      <w:r>
        <w:rPr>
          <w:rFonts w:ascii="Calibri" w:hAnsi="Calibri"/>
          <w:b/>
          <w:i w:val="0"/>
          <w:color w:val="2F6DB5"/>
          <w:sz w:val="22"/>
        </w:rPr>
        <w:t xml:space="preserve">(b) </w:t>
      </w:r>
      <w:r>
        <w:rPr>
          <w:rFonts w:ascii="Calibri" w:hAnsi="Calibri"/>
          <w:b w:val="0"/>
          <w:i w:val="0"/>
          <w:color w:val="222732"/>
          <w:sz w:val="22"/>
        </w:rPr>
        <w:t>If, after estimating e(X), you adjust/condition on e(X) and check covariate balance, what does GOOD balance buy you, and what does it NOT buy you? (One sentence each.)</w:t>
      </w:r>
      <w:r>
        <w:rPr>
          <w:rFonts w:ascii="Calibri" w:hAnsi="Calibri"/>
          <w:b/>
          <w:i w:val="0"/>
          <w:color w:val="E9A23B"/>
          <w:sz w:val="22"/>
        </w:rPr>
        <w:t xml:space="preserve">   [3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Good balance buys you exchangeability ON THE MEASURED covariates — the comparison mimics a randomized one with respect to X.</w:t>
      </w:r>
    </w:p>
    <w:p>
      <w:pPr>
        <w:pStyle w:val="ListBullet"/>
        <w:spacing w:after="60"/>
      </w:pPr>
      <w:r>
        <w:rPr>
          <w:rFonts w:ascii="Calibri" w:hAnsi="Calibri"/>
          <w:b w:val="0"/>
          <w:i w:val="0"/>
          <w:color w:val="222732"/>
          <w:sz w:val="22"/>
        </w:rPr>
        <w:t>It does NOT buy you protection against unmeasured confounding: balancing measured X says nothing about variables not in X.</w:t>
      </w:r>
    </w:p>
    <w:p>
      <w:pPr>
        <w:spacing w:after="60"/>
      </w:pPr>
      <w:r>
        <w:rPr>
          <w:rFonts w:ascii="Calibri" w:hAnsi="Calibri"/>
          <w:b/>
          <w:i w:val="0"/>
          <w:color w:val="2F6DB5"/>
          <w:sz w:val="22"/>
        </w:rPr>
        <w:t xml:space="preserve">(c) </w:t>
      </w:r>
      <w:r>
        <w:rPr>
          <w:rFonts w:ascii="Calibri" w:hAnsi="Calibri"/>
          <w:b w:val="0"/>
          <w:i w:val="0"/>
          <w:color w:val="222732"/>
          <w:sz w:val="22"/>
        </w:rPr>
        <w:t>An analyst finds that treated units have estimated propensity scores in [0.4, 0.99] while controls span [0.01, 0.6]. What estimand is well supported, and what should they do about the non-overlapping regions?</w:t>
      </w:r>
      <w:r>
        <w:rPr>
          <w:rFonts w:ascii="Calibri" w:hAnsi="Calibri"/>
          <w:b/>
          <w:i w:val="0"/>
          <w:color w:val="E9A23B"/>
          <w:sz w:val="22"/>
        </w:rPr>
        <w:t xml:space="preserve">   [3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Overlap is only in roughly [0.4, 0.6]; outside it one arm is essentially absent, so positivity is weak.</w:t>
      </w:r>
    </w:p>
    <w:p>
      <w:pPr>
        <w:pStyle w:val="ListBullet"/>
        <w:spacing w:after="60"/>
      </w:pPr>
      <w:r>
        <w:rPr>
          <w:rFonts w:ascii="Calibri" w:hAnsi="Calibri"/>
          <w:b w:val="0"/>
          <w:i w:val="0"/>
          <w:color w:val="222732"/>
          <w:sz w:val="22"/>
        </w:rPr>
        <w:t>The ATT is better supported than the ATE if controls exist for the treated region; the clean fix is to TRIM to the common-support region and report the estimand on that trimmed population (or use overlap weights), not to extrapolate.</w:t>
      </w:r>
    </w:p>
    <w:p>
      <w:pPr>
        <w:spacing w:before="120" w:after="40"/>
      </w:pPr>
      <w:r>
        <w:rPr>
          <w:rFonts w:ascii="Calibri" w:hAnsi="Calibri"/>
          <w:b/>
          <w:i w:val="0"/>
          <w:color w:val="2F6DB5"/>
          <w:sz w:val="22"/>
        </w:rPr>
        <w:t xml:space="preserve">8. </w:t>
      </w:r>
      <w:r>
        <w:rPr>
          <w:rFonts w:ascii="Calibri" w:hAnsi="Calibri"/>
          <w:b/>
          <w:i w:val="0"/>
          <w:color w:val="222732"/>
          <w:sz w:val="22"/>
        </w:rPr>
        <w:t>Numeric: IPW by hand, and the doubly-robust idea</w:t>
      </w:r>
      <w:r>
        <w:rPr>
          <w:rFonts w:ascii="Calibri" w:hAnsi="Calibri"/>
          <w:b/>
          <w:i w:val="0"/>
          <w:color w:val="E9A23B"/>
          <w:sz w:val="22"/>
        </w:rPr>
        <w:t xml:space="preserve">   [8 pts]</w:t>
      </w:r>
    </w:p>
    <w:p>
      <w:pPr>
        <w:spacing w:after="120"/>
      </w:pPr>
      <w:r>
        <w:rPr>
          <w:rFonts w:ascii="Calibri" w:hAnsi="Calibri"/>
          <w:b w:val="0"/>
          <w:i w:val="0"/>
          <w:color w:val="222732"/>
          <w:sz w:val="22"/>
        </w:rPr>
        <w:t>Six patients are observed. T is treatment, Y the outcome, and e = P(T = 1 | X) is the (given, correctly specified) propensity score for each patient. Use the stabilized / Hájek IPW estimator: weight treated units by 1/e and controls by 1/(1 − e), then take the weighted mean outcome in each arm and subtract.</w:t>
      </w:r>
    </w:p>
    <w:p>
      <w:pPr>
        <w:spacing w:after="40"/>
      </w:pPr>
      <w:r>
        <w:rPr>
          <w:rFonts w:ascii="Calibri" w:hAnsi="Calibri"/>
          <w:b w:val="0"/>
          <w:i/>
          <w:color w:val="7F8694"/>
          <w:sz w:val="22"/>
        </w:rPr>
        <w:t>Patient-level data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2A44"/>
          </w:tcPr>
          <w:p>
            <w:r>
              <w:rPr>
                <w:rFonts w:ascii="Calibri" w:hAnsi="Calibri"/>
                <w:b/>
                <w:i w:val="0"/>
                <w:color w:val="FFFFFF"/>
                <w:sz w:val="21"/>
              </w:rPr>
              <w:t>Patient</w:t>
            </w:r>
          </w:p>
        </w:tc>
        <w:tc>
          <w:tcPr>
            <w:tcW w:type="dxa" w:w="2412"/>
            <w:shd w:val="clear" w:color="auto" w:fill="1F2A44"/>
          </w:tcPr>
          <w:p>
            <w:r>
              <w:rPr>
                <w:rFonts w:ascii="Calibri" w:hAnsi="Calibri"/>
                <w:b/>
                <w:i w:val="0"/>
                <w:color w:val="FFFFFF"/>
                <w:sz w:val="21"/>
              </w:rPr>
              <w:t>T</w:t>
            </w:r>
          </w:p>
        </w:tc>
        <w:tc>
          <w:tcPr>
            <w:tcW w:type="dxa" w:w="2412"/>
            <w:shd w:val="clear" w:color="auto" w:fill="1F2A44"/>
          </w:tcPr>
          <w:p>
            <w:r>
              <w:rPr>
                <w:rFonts w:ascii="Calibri" w:hAnsi="Calibri"/>
                <w:b/>
                <w:i w:val="0"/>
                <w:color w:val="FFFFFF"/>
                <w:sz w:val="21"/>
              </w:rPr>
              <w:t>Y</w:t>
            </w:r>
          </w:p>
        </w:tc>
        <w:tc>
          <w:tcPr>
            <w:tcW w:type="dxa" w:w="2412"/>
            <w:shd w:val="clear" w:color="auto" w:fill="1F2A44"/>
          </w:tcPr>
          <w:p>
            <w:r>
              <w:rPr>
                <w:rFonts w:ascii="Calibri" w:hAnsi="Calibri"/>
                <w:b/>
                <w:i w:val="0"/>
                <w:color w:val="FFFFFF"/>
                <w:sz w:val="21"/>
              </w:rPr>
              <w:t>e = P(T=1|X)</w:t>
            </w:r>
          </w:p>
        </w:tc>
      </w:tr>
      <w:tr>
        <w:tc>
          <w:tcPr>
            <w:tcW w:type="dxa" w:w="2412"/>
          </w:tcPr>
          <w:p>
            <w:r>
              <w:rPr>
                <w:rFonts w:ascii="Calibri" w:hAnsi="Calibri"/>
                <w:b w:val="0"/>
                <w:i w:val="0"/>
                <w:color w:val="222732"/>
                <w:sz w:val="21"/>
              </w:rPr>
              <w:t>1</w:t>
            </w:r>
          </w:p>
        </w:tc>
        <w:tc>
          <w:tcPr>
            <w:tcW w:type="dxa" w:w="2412"/>
          </w:tcPr>
          <w:p>
            <w:r>
              <w:rPr>
                <w:rFonts w:ascii="Calibri" w:hAnsi="Calibri"/>
                <w:b w:val="0"/>
                <w:i w:val="0"/>
                <w:color w:val="222732"/>
                <w:sz w:val="21"/>
              </w:rPr>
              <w:t>1</w:t>
            </w:r>
          </w:p>
        </w:tc>
        <w:tc>
          <w:tcPr>
            <w:tcW w:type="dxa" w:w="2412"/>
          </w:tcPr>
          <w:p>
            <w:r>
              <w:rPr>
                <w:rFonts w:ascii="Calibri" w:hAnsi="Calibri"/>
                <w:b w:val="0"/>
                <w:i w:val="0"/>
                <w:color w:val="222732"/>
                <w:sz w:val="21"/>
              </w:rPr>
              <w:t>10</w:t>
            </w:r>
          </w:p>
        </w:tc>
        <w:tc>
          <w:tcPr>
            <w:tcW w:type="dxa" w:w="2412"/>
          </w:tcPr>
          <w:p>
            <w:r>
              <w:rPr>
                <w:rFonts w:ascii="Calibri" w:hAnsi="Calibri"/>
                <w:b w:val="0"/>
                <w:i w:val="0"/>
                <w:color w:val="222732"/>
                <w:sz w:val="21"/>
              </w:rPr>
              <w:t>0.50</w:t>
            </w:r>
          </w:p>
        </w:tc>
      </w:tr>
      <w:tr>
        <w:tc>
          <w:tcPr>
            <w:tcW w:type="dxa" w:w="2412"/>
            <w:shd w:val="clear" w:color="auto" w:fill="ECEEF2"/>
          </w:tcPr>
          <w:p>
            <w:r>
              <w:rPr>
                <w:rFonts w:ascii="Calibri" w:hAnsi="Calibri"/>
                <w:b w:val="0"/>
                <w:i w:val="0"/>
                <w:color w:val="222732"/>
                <w:sz w:val="21"/>
              </w:rPr>
              <w:t>2</w:t>
            </w:r>
          </w:p>
        </w:tc>
        <w:tc>
          <w:tcPr>
            <w:tcW w:type="dxa" w:w="2412"/>
            <w:shd w:val="clear" w:color="auto" w:fill="ECEEF2"/>
          </w:tcPr>
          <w:p>
            <w:r>
              <w:rPr>
                <w:rFonts w:ascii="Calibri" w:hAnsi="Calibri"/>
                <w:b w:val="0"/>
                <w:i w:val="0"/>
                <w:color w:val="222732"/>
                <w:sz w:val="21"/>
              </w:rPr>
              <w:t>1</w:t>
            </w:r>
          </w:p>
        </w:tc>
        <w:tc>
          <w:tcPr>
            <w:tcW w:type="dxa" w:w="2412"/>
            <w:shd w:val="clear" w:color="auto" w:fill="ECEEF2"/>
          </w:tcPr>
          <w:p>
            <w:r>
              <w:rPr>
                <w:rFonts w:ascii="Calibri" w:hAnsi="Calibri"/>
                <w:b w:val="0"/>
                <w:i w:val="0"/>
                <w:color w:val="222732"/>
                <w:sz w:val="21"/>
              </w:rPr>
              <w:t>14</w:t>
            </w:r>
          </w:p>
        </w:tc>
        <w:tc>
          <w:tcPr>
            <w:tcW w:type="dxa" w:w="2412"/>
            <w:shd w:val="clear" w:color="auto" w:fill="ECEEF2"/>
          </w:tcPr>
          <w:p>
            <w:r>
              <w:rPr>
                <w:rFonts w:ascii="Calibri" w:hAnsi="Calibri"/>
                <w:b w:val="0"/>
                <w:i w:val="0"/>
                <w:color w:val="222732"/>
                <w:sz w:val="21"/>
              </w:rPr>
              <w:t>0.25</w:t>
            </w:r>
          </w:p>
        </w:tc>
      </w:tr>
      <w:tr>
        <w:tc>
          <w:tcPr>
            <w:tcW w:type="dxa" w:w="2412"/>
          </w:tcPr>
          <w:p>
            <w:r>
              <w:rPr>
                <w:rFonts w:ascii="Calibri" w:hAnsi="Calibri"/>
                <w:b w:val="0"/>
                <w:i w:val="0"/>
                <w:color w:val="222732"/>
                <w:sz w:val="21"/>
              </w:rPr>
              <w:t>3</w:t>
            </w:r>
          </w:p>
        </w:tc>
        <w:tc>
          <w:tcPr>
            <w:tcW w:type="dxa" w:w="2412"/>
          </w:tcPr>
          <w:p>
            <w:r>
              <w:rPr>
                <w:rFonts w:ascii="Calibri" w:hAnsi="Calibri"/>
                <w:b w:val="0"/>
                <w:i w:val="0"/>
                <w:color w:val="222732"/>
                <w:sz w:val="21"/>
              </w:rPr>
              <w:t>1</w:t>
            </w:r>
          </w:p>
        </w:tc>
        <w:tc>
          <w:tcPr>
            <w:tcW w:type="dxa" w:w="2412"/>
          </w:tcPr>
          <w:p>
            <w:r>
              <w:rPr>
                <w:rFonts w:ascii="Calibri" w:hAnsi="Calibri"/>
                <w:b w:val="0"/>
                <w:i w:val="0"/>
                <w:color w:val="222732"/>
                <w:sz w:val="21"/>
              </w:rPr>
              <w:t>8</w:t>
            </w:r>
          </w:p>
        </w:tc>
        <w:tc>
          <w:tcPr>
            <w:tcW w:type="dxa" w:w="2412"/>
          </w:tcPr>
          <w:p>
            <w:r>
              <w:rPr>
                <w:rFonts w:ascii="Calibri" w:hAnsi="Calibri"/>
                <w:b w:val="0"/>
                <w:i w:val="0"/>
                <w:color w:val="222732"/>
                <w:sz w:val="21"/>
              </w:rPr>
              <w:t>0.50</w:t>
            </w:r>
          </w:p>
        </w:tc>
      </w:tr>
      <w:tr>
        <w:tc>
          <w:tcPr>
            <w:tcW w:type="dxa" w:w="2412"/>
            <w:shd w:val="clear" w:color="auto" w:fill="ECEEF2"/>
          </w:tcPr>
          <w:p>
            <w:r>
              <w:rPr>
                <w:rFonts w:ascii="Calibri" w:hAnsi="Calibri"/>
                <w:b w:val="0"/>
                <w:i w:val="0"/>
                <w:color w:val="222732"/>
                <w:sz w:val="21"/>
              </w:rPr>
              <w:t>4</w:t>
            </w:r>
          </w:p>
        </w:tc>
        <w:tc>
          <w:tcPr>
            <w:tcW w:type="dxa" w:w="2412"/>
            <w:shd w:val="clear" w:color="auto" w:fill="ECEEF2"/>
          </w:tcPr>
          <w:p>
            <w:r>
              <w:rPr>
                <w:rFonts w:ascii="Calibri" w:hAnsi="Calibri"/>
                <w:b w:val="0"/>
                <w:i w:val="0"/>
                <w:color w:val="222732"/>
                <w:sz w:val="21"/>
              </w:rPr>
              <w:t>0</w:t>
            </w:r>
          </w:p>
        </w:tc>
        <w:tc>
          <w:tcPr>
            <w:tcW w:type="dxa" w:w="2412"/>
            <w:shd w:val="clear" w:color="auto" w:fill="ECEEF2"/>
          </w:tcPr>
          <w:p>
            <w:r>
              <w:rPr>
                <w:rFonts w:ascii="Calibri" w:hAnsi="Calibri"/>
                <w:b w:val="0"/>
                <w:i w:val="0"/>
                <w:color w:val="222732"/>
                <w:sz w:val="21"/>
              </w:rPr>
              <w:t>6</w:t>
            </w:r>
          </w:p>
        </w:tc>
        <w:tc>
          <w:tcPr>
            <w:tcW w:type="dxa" w:w="2412"/>
            <w:shd w:val="clear" w:color="auto" w:fill="ECEEF2"/>
          </w:tcPr>
          <w:p>
            <w:r>
              <w:rPr>
                <w:rFonts w:ascii="Calibri" w:hAnsi="Calibri"/>
                <w:b w:val="0"/>
                <w:i w:val="0"/>
                <w:color w:val="222732"/>
                <w:sz w:val="21"/>
              </w:rPr>
              <w:t>0.50</w:t>
            </w:r>
          </w:p>
        </w:tc>
      </w:tr>
      <w:tr>
        <w:tc>
          <w:tcPr>
            <w:tcW w:type="dxa" w:w="2412"/>
          </w:tcPr>
          <w:p>
            <w:r>
              <w:rPr>
                <w:rFonts w:ascii="Calibri" w:hAnsi="Calibri"/>
                <w:b w:val="0"/>
                <w:i w:val="0"/>
                <w:color w:val="222732"/>
                <w:sz w:val="21"/>
              </w:rPr>
              <w:t>5</w:t>
            </w:r>
          </w:p>
        </w:tc>
        <w:tc>
          <w:tcPr>
            <w:tcW w:type="dxa" w:w="2412"/>
          </w:tcPr>
          <w:p>
            <w:r>
              <w:rPr>
                <w:rFonts w:ascii="Calibri" w:hAnsi="Calibri"/>
                <w:b w:val="0"/>
                <w:i w:val="0"/>
                <w:color w:val="222732"/>
                <w:sz w:val="21"/>
              </w:rPr>
              <w:t>0</w:t>
            </w:r>
          </w:p>
        </w:tc>
        <w:tc>
          <w:tcPr>
            <w:tcW w:type="dxa" w:w="2412"/>
          </w:tcPr>
          <w:p>
            <w:r>
              <w:rPr>
                <w:rFonts w:ascii="Calibri" w:hAnsi="Calibri"/>
                <w:b w:val="0"/>
                <w:i w:val="0"/>
                <w:color w:val="222732"/>
                <w:sz w:val="21"/>
              </w:rPr>
              <w:t>4</w:t>
            </w:r>
          </w:p>
        </w:tc>
        <w:tc>
          <w:tcPr>
            <w:tcW w:type="dxa" w:w="2412"/>
          </w:tcPr>
          <w:p>
            <w:r>
              <w:rPr>
                <w:rFonts w:ascii="Calibri" w:hAnsi="Calibri"/>
                <w:b w:val="0"/>
                <w:i w:val="0"/>
                <w:color w:val="222732"/>
                <w:sz w:val="21"/>
              </w:rPr>
              <w:t>0.75</w:t>
            </w:r>
          </w:p>
        </w:tc>
      </w:tr>
      <w:tr>
        <w:tc>
          <w:tcPr>
            <w:tcW w:type="dxa" w:w="2412"/>
            <w:shd w:val="clear" w:color="auto" w:fill="ECEEF2"/>
          </w:tcPr>
          <w:p>
            <w:r>
              <w:rPr>
                <w:rFonts w:ascii="Calibri" w:hAnsi="Calibri"/>
                <w:b w:val="0"/>
                <w:i w:val="0"/>
                <w:color w:val="222732"/>
                <w:sz w:val="21"/>
              </w:rPr>
              <w:t>6</w:t>
            </w:r>
          </w:p>
        </w:tc>
        <w:tc>
          <w:tcPr>
            <w:tcW w:type="dxa" w:w="2412"/>
            <w:shd w:val="clear" w:color="auto" w:fill="ECEEF2"/>
          </w:tcPr>
          <w:p>
            <w:r>
              <w:rPr>
                <w:rFonts w:ascii="Calibri" w:hAnsi="Calibri"/>
                <w:b w:val="0"/>
                <w:i w:val="0"/>
                <w:color w:val="222732"/>
                <w:sz w:val="21"/>
              </w:rPr>
              <w:t>0</w:t>
            </w:r>
          </w:p>
        </w:tc>
        <w:tc>
          <w:tcPr>
            <w:tcW w:type="dxa" w:w="2412"/>
            <w:shd w:val="clear" w:color="auto" w:fill="ECEEF2"/>
          </w:tcPr>
          <w:p>
            <w:r>
              <w:rPr>
                <w:rFonts w:ascii="Calibri" w:hAnsi="Calibri"/>
                <w:b w:val="0"/>
                <w:i w:val="0"/>
                <w:color w:val="222732"/>
                <w:sz w:val="21"/>
              </w:rPr>
              <w:t>2</w:t>
            </w:r>
          </w:p>
        </w:tc>
        <w:tc>
          <w:tcPr>
            <w:tcW w:type="dxa" w:w="2412"/>
            <w:shd w:val="clear" w:color="auto" w:fill="ECEEF2"/>
          </w:tcPr>
          <w:p>
            <w:r>
              <w:rPr>
                <w:rFonts w:ascii="Calibri" w:hAnsi="Calibri"/>
                <w:b w:val="0"/>
                <w:i w:val="0"/>
                <w:color w:val="222732"/>
                <w:sz w:val="21"/>
              </w:rPr>
              <w:t>0.50</w:t>
            </w:r>
          </w:p>
        </w:tc>
      </w:tr>
    </w:tbl>
    <w:p>
      <w:pPr>
        <w:spacing w:after="40"/>
      </w:pPr>
    </w:p>
    <w:p>
      <w:pPr>
        <w:spacing w:after="60"/>
      </w:pPr>
      <w:r>
        <w:rPr>
          <w:rFonts w:ascii="Calibri" w:hAnsi="Calibri"/>
          <w:b/>
          <w:i w:val="0"/>
          <w:color w:val="2F6DB5"/>
          <w:sz w:val="22"/>
        </w:rPr>
        <w:t xml:space="preserve">(a) </w:t>
      </w:r>
      <w:r>
        <w:rPr>
          <w:rFonts w:ascii="Calibri" w:hAnsi="Calibri"/>
          <w:b w:val="0"/>
          <w:i w:val="0"/>
          <w:color w:val="222732"/>
          <w:sz w:val="22"/>
        </w:rPr>
        <w:t>Write the IPW weight for each patient.</w:t>
      </w:r>
      <w:r>
        <w:rPr>
          <w:rFonts w:ascii="Calibri" w:hAnsi="Calibri"/>
          <w:b/>
          <w:i w:val="0"/>
          <w:color w:val="E9A23B"/>
          <w:sz w:val="22"/>
        </w:rPr>
        <w:t xml:space="preserve">   [2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Treated (weight 1/e): P1 = 1/0.50 = 2, P2 = 1/0.25 = 4, P3 = 1/0.50 = 2.</w:t>
      </w:r>
    </w:p>
    <w:p>
      <w:pPr>
        <w:pStyle w:val="ListBullet"/>
        <w:spacing w:after="60"/>
      </w:pPr>
      <w:r>
        <w:rPr>
          <w:rFonts w:ascii="Calibri" w:hAnsi="Calibri"/>
          <w:b w:val="0"/>
          <w:i w:val="0"/>
          <w:color w:val="222732"/>
          <w:sz w:val="22"/>
        </w:rPr>
        <w:t>Control (weight 1/(1−e)): P4 = 1/0.50 = 2, P5 = 1/0.25 = 4, P6 = 1/0.50 = 2.</w:t>
      </w:r>
    </w:p>
    <w:p>
      <w:pPr>
        <w:spacing w:after="60"/>
      </w:pPr>
      <w:r>
        <w:rPr>
          <w:rFonts w:ascii="Calibri" w:hAnsi="Calibri"/>
          <w:b/>
          <w:i w:val="0"/>
          <w:color w:val="2F6DB5"/>
          <w:sz w:val="22"/>
        </w:rPr>
        <w:t xml:space="preserve">(b) </w:t>
      </w:r>
      <w:r>
        <w:rPr>
          <w:rFonts w:ascii="Calibri" w:hAnsi="Calibri"/>
          <w:b w:val="0"/>
          <w:i w:val="0"/>
          <w:color w:val="222732"/>
          <w:sz w:val="22"/>
        </w:rPr>
        <w:t>Compute the weighted mean outcome in the treated arm and in the control arm (Hájek), and report the IPW estimate of the ATE. Show the arithmetic.</w:t>
      </w:r>
      <w:r>
        <w:rPr>
          <w:rFonts w:ascii="Calibri" w:hAnsi="Calibri"/>
          <w:b/>
          <w:i w:val="0"/>
          <w:color w:val="E9A23B"/>
          <w:sz w:val="22"/>
        </w:rPr>
        <w:t xml:space="preserve">   [4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Treated: Σwy = 2·10 + 4·14 + 2·8 = 20 + 56 + 16 = 92; Σw = 2 + 4 + 2 = 8; μ̂₁ = 92/8 = 11.5.</w:t>
      </w:r>
    </w:p>
    <w:p>
      <w:pPr>
        <w:pStyle w:val="ListBullet"/>
        <w:spacing w:after="60"/>
      </w:pPr>
      <w:r>
        <w:rPr>
          <w:rFonts w:ascii="Calibri" w:hAnsi="Calibri"/>
          <w:b w:val="0"/>
          <w:i w:val="0"/>
          <w:color w:val="222732"/>
          <w:sz w:val="22"/>
        </w:rPr>
        <w:t>Control: Σwy = 2·6 + 4·4 + 2·2 = 12 + 16 + 4 = 32; Σw = 2 + 4 + 2 = 8; μ̂₀ = 32/8 = 4.0.</w:t>
      </w:r>
    </w:p>
    <w:p>
      <w:pPr>
        <w:pStyle w:val="ListBullet"/>
        <w:spacing w:after="60"/>
      </w:pPr>
      <w:r>
        <w:rPr>
          <w:rFonts w:ascii="Calibri" w:hAnsi="Calibri"/>
          <w:b/>
          <w:i w:val="0"/>
          <w:color w:val="222732"/>
          <w:sz w:val="22"/>
        </w:rPr>
        <w:t>IPW ATE = 11.5 − 4.0 = 7.5.</w:t>
      </w:r>
    </w:p>
    <w:p>
      <w:pPr>
        <w:spacing w:after="60"/>
      </w:pPr>
      <w:r>
        <w:rPr>
          <w:rFonts w:ascii="Calibri" w:hAnsi="Calibri"/>
          <w:b/>
          <w:i w:val="0"/>
          <w:color w:val="2F6DB5"/>
          <w:sz w:val="22"/>
        </w:rPr>
        <w:t xml:space="preserve">(c) </w:t>
      </w:r>
      <w:r>
        <w:rPr>
          <w:rFonts w:ascii="Calibri" w:hAnsi="Calibri"/>
          <w:b w:val="0"/>
          <w:i w:val="0"/>
          <w:color w:val="222732"/>
          <w:sz w:val="22"/>
        </w:rPr>
        <w:t>The NAÏVE difference in raw group means is 10.67 − 4.0 = 6.67. In one or two sentences, explain why a doubly-robust (AIPW) estimator is preferred over plain IPW in practice — what 'double' protection does it give?</w:t>
      </w:r>
      <w:r>
        <w:rPr>
          <w:rFonts w:ascii="Calibri" w:hAnsi="Calibri"/>
          <w:b/>
          <w:i w:val="0"/>
          <w:color w:val="E9A23B"/>
          <w:sz w:val="22"/>
        </w:rPr>
        <w:t xml:space="preserve">   [2 pts]</w:t>
      </w:r>
    </w:p>
    <w:p>
      <w:pPr>
        <w:spacing w:after="40"/>
      </w:pPr>
      <w:r>
        <w:rPr>
          <w:rFonts w:ascii="Calibri" w:hAnsi="Calibri"/>
          <w:b/>
          <w:i w:val="0"/>
          <w:color w:val="4E8C57"/>
          <w:sz w:val="22"/>
        </w:rPr>
        <w:t>Model answer:</w:t>
      </w:r>
    </w:p>
    <w:p>
      <w:pPr>
        <w:pStyle w:val="ListBullet"/>
        <w:spacing w:after="60"/>
      </w:pPr>
      <w:r>
        <w:rPr>
          <w:rFonts w:ascii="Calibri" w:hAnsi="Calibri"/>
          <w:b w:val="0"/>
          <w:i w:val="0"/>
          <w:color w:val="222732"/>
          <w:sz w:val="22"/>
        </w:rPr>
        <w:t>Reweighting up-weights patient 2 (low e), pulling the treated mean above the naïve 10.67 to correct for under-represented covariate strata — hence 7.5 vs. 6.67.</w:t>
      </w:r>
    </w:p>
    <w:p>
      <w:pPr>
        <w:pStyle w:val="ListBullet"/>
        <w:spacing w:after="60"/>
      </w:pPr>
      <w:r>
        <w:rPr>
          <w:rFonts w:ascii="Calibri" w:hAnsi="Calibri"/>
          <w:b w:val="0"/>
          <w:i w:val="0"/>
          <w:color w:val="222732"/>
          <w:sz w:val="22"/>
        </w:rPr>
        <w:t>A doubly-robust / AIPW estimator combines an outcome model with the propensity model and is consistent if EITHER model is correctly specified (not necessarily both); it also tends to be more stable when some weights are large.</w:t>
      </w:r>
    </w:p>
    <w:p>
      <w:pPr>
        <w:spacing w:before="320" w:after="80"/>
        <w:pBdr>
          <w:left w:val="single" w:sz="18" w:space="8" w:color="2F6DB5"/>
        </w:pBdr>
        <w:ind w:left="115"/>
      </w:pPr>
      <w:r>
        <w:rPr>
          <w:rFonts w:ascii="Calibri" w:hAnsi="Calibri"/>
          <w:b/>
          <w:i w:val="0"/>
          <w:color w:val="1F2A44"/>
          <w:sz w:val="32"/>
        </w:rPr>
        <w:t>End of exam</w:t>
      </w:r>
    </w:p>
    <w:p>
      <w:pPr>
        <w:spacing w:after="120"/>
      </w:pPr>
      <w:r>
        <w:rPr>
          <w:rFonts w:ascii="Calibri" w:hAnsi="Calibri"/>
          <w:b/>
          <w:i w:val="0"/>
          <w:color w:val="222732"/>
          <w:sz w:val="22"/>
        </w:rPr>
        <w:t xml:space="preserve">Total: </w:t>
      </w:r>
      <w:r>
        <w:rPr>
          <w:rFonts w:ascii="Calibri" w:hAnsi="Calibri"/>
          <w:b w:val="0"/>
          <w:i w:val="0"/>
          <w:color w:val="222732"/>
          <w:sz w:val="22"/>
        </w:rPr>
        <w:t>100 points across 8 questions. Reasoning-based partial credit throughout.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