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5F1F" w14:textId="432C5854" w:rsidR="00A93E10" w:rsidRPr="008C37FB" w:rsidRDefault="00A93E10" w:rsidP="008C37FB">
      <w:pPr>
        <w:pStyle w:val="Heading1"/>
      </w:pPr>
      <w:bookmarkStart w:id="0" w:name="_Hlk159831866"/>
      <w:bookmarkStart w:id="1" w:name="_Hlk174955316"/>
      <w:r w:rsidRPr="008C37FB">
        <w:t>Childhood and adolescent factors and thyroid cancer incidence in adult women in the Sister Study cohort</w:t>
      </w:r>
    </w:p>
    <w:bookmarkEnd w:id="0"/>
    <w:p w14:paraId="6C540206" w14:textId="77777777" w:rsidR="00A93E10" w:rsidRPr="008C37FB" w:rsidRDefault="00A93E10" w:rsidP="008C37FB">
      <w:pPr>
        <w:spacing w:after="240" w:line="360" w:lineRule="auto"/>
        <w:jc w:val="both"/>
        <w:rPr>
          <w:rFonts w:cstheme="minorHAnsi"/>
        </w:rPr>
      </w:pPr>
      <w:r w:rsidRPr="008C37FB">
        <w:rPr>
          <w:rFonts w:cstheme="minorHAnsi"/>
          <w:b/>
        </w:rPr>
        <w:t>Running title: Early-life factors and thyroid cancer incidence</w:t>
      </w:r>
    </w:p>
    <w:p w14:paraId="6DDE913E" w14:textId="4756F0A7" w:rsidR="00A93E10" w:rsidRPr="008C37FB" w:rsidRDefault="00A93E10" w:rsidP="008C37FB">
      <w:pPr>
        <w:pStyle w:val="NoSpacing"/>
        <w:spacing w:line="360" w:lineRule="auto"/>
        <w:rPr>
          <w:rFonts w:cstheme="minorHAnsi"/>
        </w:rPr>
      </w:pPr>
      <w:r w:rsidRPr="008C37FB">
        <w:rPr>
          <w:rFonts w:cstheme="minorHAnsi"/>
        </w:rPr>
        <w:t>Thi-Van-Trinh Tran Ph.D.</w:t>
      </w:r>
      <w:r w:rsidRPr="008C37FB">
        <w:rPr>
          <w:rFonts w:cstheme="minorHAnsi"/>
          <w:vertAlign w:val="superscript"/>
        </w:rPr>
        <w:t>1</w:t>
      </w:r>
      <w:r w:rsidRPr="008C37FB">
        <w:rPr>
          <w:rFonts w:cstheme="minorHAnsi"/>
        </w:rPr>
        <w:t xml:space="preserve">, Katie </w:t>
      </w:r>
      <w:r w:rsidR="00A67B51" w:rsidRPr="008C37FB">
        <w:rPr>
          <w:rFonts w:cstheme="minorHAnsi"/>
        </w:rPr>
        <w:t>O’Brien</w:t>
      </w:r>
      <w:r w:rsidRPr="008C37FB">
        <w:rPr>
          <w:rFonts w:cstheme="minorHAnsi"/>
        </w:rPr>
        <w:t xml:space="preserve"> Ph.D.</w:t>
      </w:r>
      <w:r w:rsidRPr="008C37FB">
        <w:rPr>
          <w:rFonts w:cstheme="minorHAnsi"/>
          <w:vertAlign w:val="superscript"/>
        </w:rPr>
        <w:t>2</w:t>
      </w:r>
      <w:r w:rsidRPr="008C37FB">
        <w:rPr>
          <w:rFonts w:cstheme="minorHAnsi"/>
        </w:rPr>
        <w:t>, Rebecca Troisi Ph.D.</w:t>
      </w:r>
      <w:r w:rsidRPr="008C37FB">
        <w:rPr>
          <w:rFonts w:cstheme="minorHAnsi"/>
          <w:vertAlign w:val="superscript"/>
        </w:rPr>
        <w:t>3</w:t>
      </w:r>
      <w:r w:rsidRPr="008C37FB">
        <w:rPr>
          <w:rFonts w:cstheme="minorHAnsi"/>
        </w:rPr>
        <w:t>, Dale Sandler Ph.D.</w:t>
      </w:r>
      <w:r w:rsidRPr="008C37FB">
        <w:rPr>
          <w:rFonts w:cstheme="minorHAnsi"/>
          <w:vertAlign w:val="superscript"/>
        </w:rPr>
        <w:t>2</w:t>
      </w:r>
      <w:r w:rsidRPr="008C37FB">
        <w:rPr>
          <w:rFonts w:cstheme="minorHAnsi"/>
        </w:rPr>
        <w:t>, Cari M. Kitahara Ph.D.</w:t>
      </w:r>
      <w:r w:rsidRPr="008C37FB">
        <w:rPr>
          <w:rFonts w:cstheme="minorHAnsi"/>
          <w:vertAlign w:val="superscript"/>
        </w:rPr>
        <w:t>1</w:t>
      </w:r>
      <w:r w:rsidRPr="008C37FB">
        <w:rPr>
          <w:rFonts w:cstheme="minorHAnsi"/>
        </w:rPr>
        <w:t xml:space="preserve">* </w:t>
      </w:r>
    </w:p>
    <w:p w14:paraId="0E76FB7A" w14:textId="77777777" w:rsidR="00A93E10" w:rsidRPr="008C37FB" w:rsidRDefault="00A93E10" w:rsidP="008C37FB">
      <w:pPr>
        <w:spacing w:after="240" w:line="360" w:lineRule="auto"/>
        <w:jc w:val="both"/>
        <w:rPr>
          <w:rFonts w:cstheme="minorHAnsi"/>
          <w:color w:val="000000"/>
        </w:rPr>
      </w:pPr>
      <w:r w:rsidRPr="008C37FB">
        <w:rPr>
          <w:rFonts w:cstheme="minorHAnsi"/>
        </w:rPr>
        <w:t xml:space="preserve">1 </w:t>
      </w:r>
      <w:r w:rsidRPr="008C37FB">
        <w:rPr>
          <w:rFonts w:cstheme="minorHAnsi"/>
          <w:color w:val="000000"/>
        </w:rPr>
        <w:t>Radiation Epidemiology Branch, Division of Cancer Epidemiology and Genetics, National Cancer Institute, National Institutes of Health, 9609 Medical Center Drive, Room 7E-456, Bethesda, Maryland 20892-9778, USA.</w:t>
      </w:r>
    </w:p>
    <w:p w14:paraId="059A25DB"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2 Epidemiology Branch, National Institute of Environmental Health Sciences, Research Triangle Park, NC, USA.</w:t>
      </w:r>
    </w:p>
    <w:p w14:paraId="05AAEE52"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3 Trans-Divisional Research Program, Division of Cancer Epidemiology and Genetics, National Cancer Institute, National Institutes of Health, 9609 Medical Center Drive, Room 7E-456, Bethesda, Maryland 20892-9778, USA.</w:t>
      </w:r>
    </w:p>
    <w:p w14:paraId="09857644"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 Corresponding author</w:t>
      </w:r>
    </w:p>
    <w:p w14:paraId="6016C433" w14:textId="0448E9F8" w:rsidR="00A93E10" w:rsidRPr="008C37FB" w:rsidRDefault="00A93E10" w:rsidP="008C37FB">
      <w:pPr>
        <w:spacing w:line="360" w:lineRule="auto"/>
        <w:jc w:val="both"/>
        <w:rPr>
          <w:rFonts w:cstheme="minorHAnsi"/>
        </w:rPr>
      </w:pPr>
      <w:r w:rsidRPr="008C37FB">
        <w:rPr>
          <w:rFonts w:cstheme="minorHAnsi"/>
          <w:b/>
        </w:rPr>
        <w:t>Keywords</w:t>
      </w:r>
      <w:r w:rsidRPr="008C37FB">
        <w:rPr>
          <w:rFonts w:cstheme="minorHAnsi"/>
        </w:rPr>
        <w:t>: Thyroid neoplasms, incidence, childhood exposures, adolescent exposures, risk factors, observational study</w:t>
      </w:r>
    </w:p>
    <w:p w14:paraId="6471CCE4" w14:textId="09F12714" w:rsidR="00A93E10" w:rsidRPr="008C37FB" w:rsidRDefault="00A93E10" w:rsidP="008C37FB">
      <w:pPr>
        <w:spacing w:line="360" w:lineRule="auto"/>
        <w:jc w:val="both"/>
        <w:rPr>
          <w:rFonts w:cstheme="minorHAnsi"/>
          <w:b/>
          <w:color w:val="FF0000"/>
        </w:rPr>
      </w:pPr>
      <w:r w:rsidRPr="008C37FB">
        <w:rPr>
          <w:rFonts w:cstheme="minorHAnsi"/>
          <w:b/>
        </w:rPr>
        <w:t>Word count</w:t>
      </w:r>
      <w:r w:rsidRPr="008C37FB">
        <w:rPr>
          <w:rFonts w:cstheme="minorHAnsi"/>
        </w:rPr>
        <w:t xml:space="preserve">: </w:t>
      </w:r>
      <w:r w:rsidR="00E21F8D">
        <w:rPr>
          <w:rFonts w:cstheme="minorHAnsi"/>
        </w:rPr>
        <w:t>3208</w:t>
      </w:r>
    </w:p>
    <w:p w14:paraId="08434331" w14:textId="0B007B5F" w:rsidR="000163BB" w:rsidRDefault="00A93E10" w:rsidP="00E67983">
      <w:pPr>
        <w:pStyle w:val="Heading1"/>
        <w:rPr>
          <w:rFonts w:cstheme="minorHAnsi"/>
        </w:rPr>
      </w:pPr>
      <w:r w:rsidRPr="008C37FB">
        <w:rPr>
          <w:rFonts w:cstheme="minorHAnsi"/>
        </w:rPr>
        <w:br w:type="page"/>
      </w:r>
    </w:p>
    <w:p w14:paraId="05393952" w14:textId="352DC67A" w:rsidR="000163BB" w:rsidRPr="00AF5464" w:rsidRDefault="000163BB" w:rsidP="000163BB">
      <w:pPr>
        <w:pStyle w:val="Heading1"/>
      </w:pPr>
      <w:r w:rsidRPr="00AF5464">
        <w:lastRenderedPageBreak/>
        <w:t>Abstract (</w:t>
      </w:r>
      <w:r w:rsidR="00A35B82">
        <w:t xml:space="preserve">short version, </w:t>
      </w:r>
      <w:r w:rsidR="00E21F8D">
        <w:t>192</w:t>
      </w:r>
      <w:r w:rsidR="00F83E2E" w:rsidRPr="00AF5464">
        <w:t xml:space="preserve"> </w:t>
      </w:r>
      <w:r w:rsidRPr="00AF5464">
        <w:t>words)</w:t>
      </w:r>
    </w:p>
    <w:p w14:paraId="35A5F7BD" w14:textId="2A7851F6" w:rsidR="00BA264F" w:rsidRDefault="000163BB" w:rsidP="00E67983">
      <w:pPr>
        <w:pStyle w:val="NormalWeb"/>
        <w:spacing w:line="360" w:lineRule="auto"/>
        <w:rPr>
          <w:rFonts w:eastAsiaTheme="majorEastAsia" w:cstheme="majorBidi"/>
          <w:b/>
          <w:sz w:val="28"/>
          <w:szCs w:val="32"/>
          <w:lang w:eastAsia="ja-JP"/>
        </w:rPr>
      </w:pPr>
      <w:r>
        <w:rPr>
          <w:rFonts w:asciiTheme="minorHAnsi" w:hAnsiTheme="minorHAnsi" w:cstheme="minorHAnsi"/>
          <w:sz w:val="22"/>
          <w:szCs w:val="22"/>
        </w:rPr>
        <w:t xml:space="preserve">The etiology of differentiated thyroid cancer (DTC), </w:t>
      </w:r>
      <w:r w:rsidR="00FA1700">
        <w:rPr>
          <w:rFonts w:asciiTheme="minorHAnsi" w:hAnsiTheme="minorHAnsi" w:cstheme="minorHAnsi"/>
          <w:sz w:val="22"/>
          <w:szCs w:val="22"/>
        </w:rPr>
        <w:t xml:space="preserve">which is </w:t>
      </w:r>
      <w:r>
        <w:rPr>
          <w:rFonts w:asciiTheme="minorHAnsi" w:hAnsiTheme="minorHAnsi" w:cstheme="minorHAnsi"/>
          <w:sz w:val="22"/>
          <w:szCs w:val="22"/>
        </w:rPr>
        <w:t xml:space="preserve">diagnosed predominantly in women, remains largely unclear. This study </w:t>
      </w:r>
      <w:r w:rsidRPr="00AF5464">
        <w:rPr>
          <w:rFonts w:asciiTheme="minorHAnsi" w:hAnsiTheme="minorHAnsi" w:cstheme="minorHAnsi"/>
          <w:sz w:val="22"/>
          <w:szCs w:val="22"/>
        </w:rPr>
        <w:t>investigate</w:t>
      </w:r>
      <w:r w:rsidR="006E508F">
        <w:rPr>
          <w:rFonts w:asciiTheme="minorHAnsi" w:hAnsiTheme="minorHAnsi" w:cstheme="minorHAnsi"/>
          <w:sz w:val="22"/>
          <w:szCs w:val="22"/>
        </w:rPr>
        <w:t>d</w:t>
      </w:r>
      <w:r w:rsidRPr="00AF5464">
        <w:rPr>
          <w:rFonts w:asciiTheme="minorHAnsi" w:hAnsiTheme="minorHAnsi" w:cstheme="minorHAnsi"/>
          <w:sz w:val="22"/>
          <w:szCs w:val="22"/>
        </w:rPr>
        <w:t xml:space="preserve"> the association between childhood and adolescent factors and </w:t>
      </w:r>
      <w:r>
        <w:rPr>
          <w:rFonts w:asciiTheme="minorHAnsi" w:hAnsiTheme="minorHAnsi" w:cstheme="minorHAnsi"/>
          <w:sz w:val="22"/>
          <w:szCs w:val="22"/>
        </w:rPr>
        <w:t xml:space="preserve">subsequent </w:t>
      </w:r>
      <w:r w:rsidRPr="00AF5464">
        <w:rPr>
          <w:rFonts w:asciiTheme="minorHAnsi" w:hAnsiTheme="minorHAnsi" w:cstheme="minorHAnsi"/>
          <w:sz w:val="22"/>
          <w:szCs w:val="22"/>
        </w:rPr>
        <w:t>DTC</w:t>
      </w:r>
      <w:r>
        <w:rPr>
          <w:rFonts w:asciiTheme="minorHAnsi" w:hAnsiTheme="minorHAnsi" w:cstheme="minorHAnsi"/>
          <w:sz w:val="22"/>
          <w:szCs w:val="22"/>
        </w:rPr>
        <w:t xml:space="preserve"> incidence in women</w:t>
      </w:r>
      <w:r w:rsidR="0070749C">
        <w:rPr>
          <w:rFonts w:asciiTheme="minorHAnsi" w:hAnsiTheme="minorHAnsi" w:cstheme="minorHAnsi"/>
          <w:sz w:val="22"/>
          <w:szCs w:val="22"/>
        </w:rPr>
        <w:t>. We</w:t>
      </w:r>
      <w:r>
        <w:rPr>
          <w:rFonts w:asciiTheme="minorHAnsi" w:hAnsiTheme="minorHAnsi" w:cstheme="minorHAnsi"/>
          <w:sz w:val="22"/>
          <w:szCs w:val="22"/>
        </w:rPr>
        <w:t xml:space="preserve"> us</w:t>
      </w:r>
      <w:r w:rsidR="0070749C">
        <w:rPr>
          <w:rFonts w:asciiTheme="minorHAnsi" w:hAnsiTheme="minorHAnsi" w:cstheme="minorHAnsi"/>
          <w:sz w:val="22"/>
          <w:szCs w:val="22"/>
        </w:rPr>
        <w:t>ed</w:t>
      </w:r>
      <w:r w:rsidRPr="00AF5464">
        <w:rPr>
          <w:rFonts w:asciiTheme="minorHAnsi" w:hAnsiTheme="minorHAnsi" w:cstheme="minorHAnsi"/>
          <w:sz w:val="22"/>
          <w:szCs w:val="22"/>
        </w:rPr>
        <w:t xml:space="preserve"> data </w:t>
      </w:r>
      <w:r>
        <w:rPr>
          <w:rFonts w:asciiTheme="minorHAnsi" w:hAnsiTheme="minorHAnsi" w:cstheme="minorHAnsi"/>
          <w:sz w:val="22"/>
          <w:szCs w:val="22"/>
        </w:rPr>
        <w:t>from</w:t>
      </w:r>
      <w:r w:rsidRPr="00AF5464">
        <w:rPr>
          <w:rFonts w:asciiTheme="minorHAnsi" w:hAnsiTheme="minorHAnsi" w:cstheme="minorHAnsi"/>
          <w:sz w:val="22"/>
          <w:szCs w:val="22"/>
        </w:rPr>
        <w:t xml:space="preserve"> 47</w:t>
      </w:r>
      <w:r w:rsidR="00FA1700">
        <w:rPr>
          <w:rFonts w:asciiTheme="minorHAnsi" w:hAnsiTheme="minorHAnsi" w:cstheme="minorHAnsi"/>
          <w:sz w:val="22"/>
          <w:szCs w:val="22"/>
        </w:rPr>
        <w:t>,</w:t>
      </w:r>
      <w:r w:rsidRPr="00AF5464">
        <w:rPr>
          <w:rFonts w:asciiTheme="minorHAnsi" w:hAnsiTheme="minorHAnsi" w:cstheme="minorHAnsi"/>
          <w:sz w:val="22"/>
          <w:szCs w:val="22"/>
        </w:rPr>
        <w:t xml:space="preserve">913 </w:t>
      </w:r>
      <w:r>
        <w:rPr>
          <w:rFonts w:asciiTheme="minorHAnsi" w:hAnsiTheme="minorHAnsi" w:cstheme="minorHAnsi"/>
          <w:sz w:val="22"/>
          <w:szCs w:val="22"/>
        </w:rPr>
        <w:t>cancer-free</w:t>
      </w:r>
      <w:r w:rsidRPr="00AF5464">
        <w:rPr>
          <w:rFonts w:asciiTheme="minorHAnsi" w:hAnsiTheme="minorHAnsi" w:cstheme="minorHAnsi"/>
          <w:sz w:val="22"/>
          <w:szCs w:val="22"/>
        </w:rPr>
        <w:t xml:space="preserve"> women</w:t>
      </w:r>
      <w:r>
        <w:rPr>
          <w:rFonts w:asciiTheme="minorHAnsi" w:hAnsiTheme="minorHAnsi" w:cstheme="minorHAnsi"/>
          <w:sz w:val="22"/>
          <w:szCs w:val="22"/>
        </w:rPr>
        <w:t xml:space="preserve"> </w:t>
      </w:r>
      <w:r w:rsidRPr="00AF5464">
        <w:rPr>
          <w:rFonts w:asciiTheme="minorHAnsi" w:hAnsiTheme="minorHAnsi" w:cstheme="minorHAnsi"/>
          <w:sz w:val="22"/>
          <w:szCs w:val="22"/>
        </w:rPr>
        <w:t>at baseline (2003–2009)</w:t>
      </w:r>
      <w:r>
        <w:rPr>
          <w:rFonts w:asciiTheme="minorHAnsi" w:hAnsiTheme="minorHAnsi" w:cstheme="minorHAnsi"/>
          <w:sz w:val="22"/>
          <w:szCs w:val="22"/>
        </w:rPr>
        <w:t xml:space="preserve"> in </w:t>
      </w:r>
      <w:r w:rsidRPr="00AF5464">
        <w:rPr>
          <w:rFonts w:asciiTheme="minorHAnsi" w:hAnsiTheme="minorHAnsi" w:cstheme="minorHAnsi"/>
          <w:sz w:val="22"/>
          <w:szCs w:val="22"/>
        </w:rPr>
        <w:t xml:space="preserve">the U.S. </w:t>
      </w:r>
      <w:r w:rsidR="00FA1700">
        <w:rPr>
          <w:rFonts w:asciiTheme="minorHAnsi" w:hAnsiTheme="minorHAnsi" w:cstheme="minorHAnsi"/>
          <w:sz w:val="22"/>
          <w:szCs w:val="22"/>
        </w:rPr>
        <w:t xml:space="preserve">nationwide </w:t>
      </w:r>
      <w:r w:rsidRPr="00AF5464">
        <w:rPr>
          <w:rFonts w:asciiTheme="minorHAnsi" w:hAnsiTheme="minorHAnsi" w:cstheme="minorHAnsi"/>
          <w:sz w:val="22"/>
          <w:szCs w:val="22"/>
        </w:rPr>
        <w:t>Sister Study</w:t>
      </w:r>
      <w:r w:rsidR="00295DFF">
        <w:rPr>
          <w:rFonts w:asciiTheme="minorHAnsi" w:hAnsiTheme="minorHAnsi" w:cstheme="minorHAnsi"/>
          <w:sz w:val="22"/>
          <w:szCs w:val="22"/>
        </w:rPr>
        <w:t xml:space="preserve"> </w:t>
      </w:r>
      <w:r w:rsidR="00295DFF" w:rsidRPr="00AF5464">
        <w:rPr>
          <w:rFonts w:asciiTheme="minorHAnsi" w:hAnsiTheme="minorHAnsi" w:cstheme="minorHAnsi"/>
          <w:sz w:val="22"/>
          <w:szCs w:val="22"/>
        </w:rPr>
        <w:t>cohort</w:t>
      </w:r>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AF5464">
        <w:rPr>
          <w:rFonts w:asciiTheme="minorHAnsi" w:hAnsiTheme="minorHAnsi" w:cstheme="minorHAnsi"/>
          <w:sz w:val="22"/>
          <w:szCs w:val="22"/>
        </w:rPr>
        <w:t>e</w:t>
      </w:r>
      <w:r>
        <w:rPr>
          <w:rFonts w:asciiTheme="minorHAnsi" w:hAnsiTheme="minorHAnsi" w:cstheme="minorHAnsi"/>
          <w:sz w:val="22"/>
          <w:szCs w:val="22"/>
        </w:rPr>
        <w:t xml:space="preserve"> </w:t>
      </w:r>
      <w:r w:rsidR="0070749C">
        <w:rPr>
          <w:rFonts w:asciiTheme="minorHAnsi" w:hAnsiTheme="minorHAnsi" w:cstheme="minorHAnsi"/>
          <w:sz w:val="22"/>
          <w:szCs w:val="22"/>
        </w:rPr>
        <w:t>applied</w:t>
      </w:r>
      <w:r>
        <w:rPr>
          <w:rFonts w:asciiTheme="minorHAnsi" w:hAnsiTheme="minorHAnsi" w:cstheme="minorHAnsi"/>
          <w:sz w:val="22"/>
          <w:szCs w:val="22"/>
        </w:rPr>
        <w:t xml:space="preserve"> Cox regression models to</w:t>
      </w:r>
      <w:r w:rsidRPr="00AF5464">
        <w:rPr>
          <w:rFonts w:asciiTheme="minorHAnsi" w:hAnsiTheme="minorHAnsi" w:cstheme="minorHAnsi"/>
          <w:sz w:val="22"/>
          <w:szCs w:val="22"/>
        </w:rPr>
        <w:t xml:space="preserve"> assess association</w:t>
      </w:r>
      <w:r>
        <w:rPr>
          <w:rFonts w:asciiTheme="minorHAnsi" w:hAnsiTheme="minorHAnsi" w:cstheme="minorHAnsi"/>
          <w:sz w:val="22"/>
          <w:szCs w:val="22"/>
        </w:rPr>
        <w:t>s</w:t>
      </w:r>
      <w:r w:rsidRPr="00AF5464">
        <w:rPr>
          <w:rFonts w:asciiTheme="minorHAnsi" w:hAnsiTheme="minorHAnsi" w:cstheme="minorHAnsi"/>
          <w:sz w:val="22"/>
          <w:szCs w:val="22"/>
        </w:rPr>
        <w:t xml:space="preserve"> </w:t>
      </w:r>
      <w:r>
        <w:rPr>
          <w:rFonts w:asciiTheme="minorHAnsi" w:hAnsiTheme="minorHAnsi" w:cstheme="minorHAnsi"/>
          <w:sz w:val="22"/>
          <w:szCs w:val="22"/>
        </w:rPr>
        <w:t>for</w:t>
      </w:r>
      <w:r w:rsidRPr="00AF5464">
        <w:rPr>
          <w:rFonts w:asciiTheme="minorHAnsi" w:hAnsiTheme="minorHAnsi" w:cstheme="minorHAnsi"/>
          <w:sz w:val="22"/>
          <w:szCs w:val="22"/>
        </w:rPr>
        <w:t xml:space="preserve"> </w:t>
      </w:r>
      <w:r w:rsidR="00295DFF">
        <w:rPr>
          <w:rFonts w:asciiTheme="minorHAnsi" w:hAnsiTheme="minorHAnsi" w:cstheme="minorHAnsi"/>
          <w:sz w:val="22"/>
          <w:szCs w:val="22"/>
        </w:rPr>
        <w:t xml:space="preserve">DTC and </w:t>
      </w:r>
      <w:r w:rsidRPr="00AF5464">
        <w:rPr>
          <w:rFonts w:asciiTheme="minorHAnsi" w:hAnsiTheme="minorHAnsi" w:cstheme="minorHAnsi"/>
          <w:sz w:val="22"/>
          <w:szCs w:val="22"/>
        </w:rPr>
        <w:t xml:space="preserve">baseline self-reported </w:t>
      </w:r>
      <w:r w:rsidR="00E23423">
        <w:rPr>
          <w:rFonts w:asciiTheme="minorHAnsi" w:hAnsiTheme="minorHAnsi" w:cstheme="minorHAnsi"/>
          <w:sz w:val="22"/>
          <w:szCs w:val="22"/>
        </w:rPr>
        <w:t xml:space="preserve">information, including </w:t>
      </w:r>
      <w:r>
        <w:rPr>
          <w:rFonts w:asciiTheme="minorHAnsi" w:hAnsiTheme="minorHAnsi" w:cstheme="minorHAnsi"/>
          <w:sz w:val="22"/>
          <w:szCs w:val="22"/>
        </w:rPr>
        <w:t>perceived body size</w:t>
      </w:r>
      <w:r w:rsidRPr="00AF5464">
        <w:rPr>
          <w:rFonts w:asciiTheme="minorHAnsi" w:hAnsiTheme="minorHAnsi" w:cstheme="minorHAnsi"/>
          <w:sz w:val="22"/>
          <w:szCs w:val="22"/>
        </w:rPr>
        <w:t xml:space="preserve">, </w:t>
      </w:r>
      <w:r>
        <w:rPr>
          <w:rFonts w:asciiTheme="minorHAnsi" w:hAnsiTheme="minorHAnsi" w:cstheme="minorHAnsi"/>
          <w:sz w:val="22"/>
          <w:szCs w:val="22"/>
        </w:rPr>
        <w:t>hormonal</w:t>
      </w:r>
      <w:r w:rsidRPr="00AF5464">
        <w:rPr>
          <w:rFonts w:asciiTheme="minorHAnsi" w:hAnsiTheme="minorHAnsi" w:cstheme="minorHAnsi"/>
          <w:sz w:val="22"/>
          <w:szCs w:val="22"/>
        </w:rPr>
        <w:t>, lifestyle, and socioeconomic factors</w:t>
      </w:r>
      <w:r w:rsidR="00063EB5">
        <w:rPr>
          <w:rFonts w:asciiTheme="minorHAnsi" w:hAnsiTheme="minorHAnsi" w:cstheme="minorHAnsi"/>
          <w:sz w:val="22"/>
          <w:szCs w:val="22"/>
        </w:rPr>
        <w:t xml:space="preserve"> through age 20</w:t>
      </w:r>
      <w:r>
        <w:rPr>
          <w:rFonts w:asciiTheme="minorHAnsi" w:hAnsiTheme="minorHAnsi" w:cstheme="minorHAnsi"/>
          <w:sz w:val="22"/>
          <w:szCs w:val="22"/>
        </w:rPr>
        <w:t xml:space="preserve">, adjusting for </w:t>
      </w:r>
      <w:r w:rsidRPr="00AF5464">
        <w:rPr>
          <w:rFonts w:asciiTheme="minorHAnsi" w:hAnsiTheme="minorHAnsi" w:cstheme="minorHAnsi"/>
          <w:sz w:val="22"/>
          <w:szCs w:val="22"/>
        </w:rPr>
        <w:t xml:space="preserve">attained age (timescale), </w:t>
      </w:r>
      <w:r>
        <w:rPr>
          <w:rFonts w:asciiTheme="minorHAnsi" w:hAnsiTheme="minorHAnsi" w:cstheme="minorHAnsi"/>
          <w:sz w:val="22"/>
          <w:szCs w:val="22"/>
        </w:rPr>
        <w:t xml:space="preserve">and </w:t>
      </w:r>
      <w:r w:rsidRPr="00AF5464">
        <w:rPr>
          <w:rFonts w:asciiTheme="minorHAnsi" w:hAnsiTheme="minorHAnsi" w:cstheme="minorHAnsi"/>
          <w:sz w:val="22"/>
          <w:szCs w:val="22"/>
        </w:rPr>
        <w:t>race/ethnicity.</w:t>
      </w:r>
      <w:r>
        <w:rPr>
          <w:rFonts w:asciiTheme="minorHAnsi" w:hAnsiTheme="minorHAnsi" w:cstheme="minorHAnsi"/>
          <w:sz w:val="22"/>
          <w:szCs w:val="22"/>
        </w:rPr>
        <w:t xml:space="preserve"> </w:t>
      </w:r>
      <w:r w:rsidRPr="00AF5464">
        <w:rPr>
          <w:rFonts w:asciiTheme="minorHAnsi" w:hAnsiTheme="minorHAnsi" w:cstheme="minorHAnsi"/>
          <w:sz w:val="22"/>
          <w:szCs w:val="22"/>
        </w:rPr>
        <w:t>Over follow-up (median: 13.1 years), 239 DTC cases were identified. Factors associated with a higher</w:t>
      </w:r>
      <w:r>
        <w:rPr>
          <w:rFonts w:asciiTheme="minorHAnsi" w:hAnsiTheme="minorHAnsi" w:cstheme="minorHAnsi"/>
          <w:sz w:val="22"/>
          <w:szCs w:val="22"/>
        </w:rPr>
        <w:t xml:space="preserve"> DTC</w:t>
      </w:r>
      <w:r w:rsidRPr="00AF5464">
        <w:rPr>
          <w:rFonts w:asciiTheme="minorHAnsi" w:hAnsiTheme="minorHAnsi" w:cstheme="minorHAnsi"/>
          <w:sz w:val="22"/>
          <w:szCs w:val="22"/>
        </w:rPr>
        <w:t xml:space="preserve"> incidence included </w:t>
      </w:r>
      <w:r>
        <w:rPr>
          <w:rFonts w:asciiTheme="minorHAnsi" w:hAnsiTheme="minorHAnsi" w:cstheme="minorHAnsi"/>
          <w:sz w:val="22"/>
          <w:szCs w:val="22"/>
        </w:rPr>
        <w:t>being</w:t>
      </w:r>
      <w:r w:rsidRPr="00AF5464">
        <w:rPr>
          <w:rFonts w:asciiTheme="minorHAnsi" w:hAnsiTheme="minorHAnsi" w:cstheme="minorHAnsi"/>
          <w:sz w:val="22"/>
          <w:szCs w:val="22"/>
        </w:rPr>
        <w:t xml:space="preserve"> taller </w:t>
      </w:r>
      <w:r>
        <w:rPr>
          <w:rFonts w:asciiTheme="minorHAnsi" w:hAnsiTheme="minorHAnsi" w:cstheme="minorHAnsi"/>
          <w:sz w:val="22"/>
          <w:szCs w:val="22"/>
        </w:rPr>
        <w:t>than peers</w:t>
      </w:r>
      <w:r w:rsidRPr="00AF5464">
        <w:rPr>
          <w:rFonts w:asciiTheme="minorHAnsi" w:hAnsiTheme="minorHAnsi" w:cstheme="minorHAnsi"/>
          <w:sz w:val="22"/>
          <w:szCs w:val="22"/>
        </w:rPr>
        <w:t xml:space="preserve"> at age 10 (hazard ratio [HR]=1.41, 95% confidence interval [CI]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1.06-1.89), </w:t>
      </w:r>
      <w:r>
        <w:rPr>
          <w:rFonts w:asciiTheme="minorHAnsi" w:hAnsiTheme="minorHAnsi" w:cstheme="minorHAnsi"/>
          <w:sz w:val="22"/>
          <w:szCs w:val="22"/>
        </w:rPr>
        <w:t>being</w:t>
      </w:r>
      <w:r w:rsidRPr="00AF5464">
        <w:rPr>
          <w:rFonts w:asciiTheme="minorHAnsi" w:hAnsiTheme="minorHAnsi" w:cstheme="minorHAnsi"/>
          <w:sz w:val="22"/>
          <w:szCs w:val="22"/>
        </w:rPr>
        <w:t xml:space="preserve"> lighter (</w:t>
      </w:r>
      <w:r w:rsidRPr="008C37FB">
        <w:rPr>
          <w:rFonts w:asciiTheme="minorHAnsi" w:hAnsiTheme="minorHAnsi" w:cstheme="minorHAnsi"/>
          <w:sz w:val="22"/>
          <w:szCs w:val="22"/>
        </w:rPr>
        <w:t>HR=1.37, 95%CI</w:t>
      </w:r>
      <w:r w:rsidR="006E508F">
        <w:rPr>
          <w:rFonts w:asciiTheme="minorHAnsi" w:hAnsiTheme="minorHAnsi" w:cstheme="minorHAnsi"/>
          <w:sz w:val="22"/>
          <w:szCs w:val="22"/>
        </w:rPr>
        <w:t>=</w:t>
      </w:r>
      <w:r w:rsidRPr="008C37FB">
        <w:rPr>
          <w:rFonts w:asciiTheme="minorHAnsi" w:hAnsiTheme="minorHAnsi" w:cstheme="minorHAnsi"/>
          <w:sz w:val="22"/>
          <w:szCs w:val="22"/>
        </w:rPr>
        <w:t>0.97-1.91</w:t>
      </w:r>
      <w:r w:rsidRPr="00AF5464">
        <w:rPr>
          <w:rFonts w:asciiTheme="minorHAnsi" w:hAnsiTheme="minorHAnsi" w:cstheme="minorHAnsi"/>
          <w:sz w:val="22"/>
          <w:szCs w:val="22"/>
        </w:rPr>
        <w:t>) or heavier (</w:t>
      </w:r>
      <w:r w:rsidRPr="008C37FB">
        <w:rPr>
          <w:rFonts w:asciiTheme="minorHAnsi" w:hAnsiTheme="minorHAnsi" w:cstheme="minorHAnsi"/>
          <w:sz w:val="22"/>
          <w:szCs w:val="22"/>
        </w:rPr>
        <w:t>HR=1.28, 95%CI</w:t>
      </w:r>
      <w:r w:rsidR="006E508F">
        <w:rPr>
          <w:rFonts w:asciiTheme="minorHAnsi" w:hAnsiTheme="minorHAnsi" w:cstheme="minorHAnsi"/>
          <w:sz w:val="22"/>
          <w:szCs w:val="22"/>
        </w:rPr>
        <w:t>=</w:t>
      </w:r>
      <w:r w:rsidRPr="008C37FB">
        <w:rPr>
          <w:rFonts w:asciiTheme="minorHAnsi" w:hAnsiTheme="minorHAnsi" w:cstheme="minorHAnsi"/>
          <w:sz w:val="22"/>
          <w:szCs w:val="22"/>
        </w:rPr>
        <w:t>0.96-1.71</w:t>
      </w:r>
      <w:r w:rsidRPr="00AF5464">
        <w:rPr>
          <w:rFonts w:asciiTheme="minorHAnsi" w:hAnsiTheme="minorHAnsi" w:cstheme="minorHAnsi"/>
          <w:sz w:val="22"/>
          <w:szCs w:val="22"/>
        </w:rPr>
        <w:t xml:space="preserve">) </w:t>
      </w:r>
      <w:r>
        <w:rPr>
          <w:rFonts w:asciiTheme="minorHAnsi" w:hAnsiTheme="minorHAnsi" w:cstheme="minorHAnsi"/>
          <w:sz w:val="22"/>
          <w:szCs w:val="22"/>
        </w:rPr>
        <w:t>than</w:t>
      </w:r>
      <w:r w:rsidRPr="00AF5464">
        <w:rPr>
          <w:rFonts w:asciiTheme="minorHAnsi" w:hAnsiTheme="minorHAnsi" w:cstheme="minorHAnsi"/>
          <w:sz w:val="22"/>
          <w:szCs w:val="22"/>
        </w:rPr>
        <w:t xml:space="preserve"> peers</w:t>
      </w:r>
      <w:r>
        <w:rPr>
          <w:rFonts w:asciiTheme="minorHAnsi" w:hAnsiTheme="minorHAnsi" w:cstheme="minorHAnsi"/>
          <w:sz w:val="22"/>
          <w:szCs w:val="22"/>
        </w:rPr>
        <w:t xml:space="preserve"> during teen years</w:t>
      </w:r>
      <w:r w:rsidRPr="00AF5464">
        <w:rPr>
          <w:rFonts w:asciiTheme="minorHAnsi" w:hAnsiTheme="minorHAnsi" w:cstheme="minorHAnsi"/>
          <w:sz w:val="22"/>
          <w:szCs w:val="22"/>
        </w:rPr>
        <w:t xml:space="preserve">, and </w:t>
      </w:r>
      <w:r>
        <w:rPr>
          <w:rFonts w:asciiTheme="minorHAnsi" w:hAnsiTheme="minorHAnsi" w:cstheme="minorHAnsi"/>
          <w:sz w:val="22"/>
          <w:szCs w:val="22"/>
        </w:rPr>
        <w:t xml:space="preserve">ever </w:t>
      </w:r>
      <w:r w:rsidRPr="00AF5464">
        <w:rPr>
          <w:rFonts w:asciiTheme="minorHAnsi" w:hAnsiTheme="minorHAnsi" w:cstheme="minorHAnsi"/>
          <w:sz w:val="22"/>
          <w:szCs w:val="22"/>
        </w:rPr>
        <w:t xml:space="preserve">not having enough to eat </w:t>
      </w:r>
      <w:r>
        <w:rPr>
          <w:rFonts w:asciiTheme="minorHAnsi" w:hAnsiTheme="minorHAnsi" w:cstheme="minorHAnsi"/>
          <w:sz w:val="22"/>
          <w:szCs w:val="22"/>
        </w:rPr>
        <w:t>during</w:t>
      </w:r>
      <w:r w:rsidRPr="00AF5464">
        <w:rPr>
          <w:rFonts w:asciiTheme="minorHAnsi" w:hAnsiTheme="minorHAnsi" w:cstheme="minorHAnsi"/>
          <w:sz w:val="22"/>
          <w:szCs w:val="22"/>
        </w:rPr>
        <w:t xml:space="preserve"> childhood (</w:t>
      </w:r>
      <w:r w:rsidRPr="008C37FB">
        <w:rPr>
          <w:rFonts w:asciiTheme="minorHAnsi" w:hAnsiTheme="minorHAnsi" w:cstheme="minorHAnsi"/>
          <w:sz w:val="22"/>
          <w:szCs w:val="22"/>
        </w:rPr>
        <w:t>HR=1.67, 95%CI</w:t>
      </w:r>
      <w:r w:rsidR="006E508F">
        <w:rPr>
          <w:rFonts w:asciiTheme="minorHAnsi" w:hAnsiTheme="minorHAnsi" w:cstheme="minorHAnsi"/>
          <w:sz w:val="22"/>
          <w:szCs w:val="22"/>
        </w:rPr>
        <w:t>=</w:t>
      </w:r>
      <w:r w:rsidRPr="008C37FB">
        <w:rPr>
          <w:rFonts w:asciiTheme="minorHAnsi" w:hAnsiTheme="minorHAnsi" w:cstheme="minorHAnsi"/>
          <w:sz w:val="22"/>
          <w:szCs w:val="22"/>
        </w:rPr>
        <w:t>1.15–2.43</w:t>
      </w:r>
      <w:r w:rsidRPr="00AF5464">
        <w:rPr>
          <w:rFonts w:asciiTheme="minorHAnsi" w:hAnsiTheme="minorHAnsi" w:cstheme="minorHAnsi"/>
          <w:sz w:val="22"/>
          <w:szCs w:val="22"/>
        </w:rPr>
        <w:t xml:space="preserve">). </w:t>
      </w:r>
      <w:r w:rsidR="00B959E6">
        <w:rPr>
          <w:rFonts w:asciiTheme="minorHAnsi" w:hAnsiTheme="minorHAnsi" w:cstheme="minorHAnsi"/>
          <w:sz w:val="22"/>
          <w:szCs w:val="22"/>
        </w:rPr>
        <w:t>Moreover</w:t>
      </w:r>
      <w:r w:rsidRPr="00AF5464">
        <w:rPr>
          <w:rFonts w:asciiTheme="minorHAnsi" w:hAnsiTheme="minorHAnsi" w:cstheme="minorHAnsi"/>
          <w:sz w:val="22"/>
          <w:szCs w:val="22"/>
        </w:rPr>
        <w:t xml:space="preserve">, </w:t>
      </w:r>
      <w:r>
        <w:rPr>
          <w:rFonts w:asciiTheme="minorHAnsi" w:hAnsiTheme="minorHAnsi" w:cstheme="minorHAnsi"/>
          <w:sz w:val="22"/>
          <w:szCs w:val="22"/>
        </w:rPr>
        <w:t xml:space="preserve">we observed </w:t>
      </w:r>
      <w:r w:rsidRPr="00AF5464">
        <w:rPr>
          <w:rFonts w:asciiTheme="minorHAnsi" w:hAnsiTheme="minorHAnsi" w:cstheme="minorHAnsi"/>
          <w:sz w:val="22"/>
          <w:szCs w:val="22"/>
        </w:rPr>
        <w:t xml:space="preserve">lower incidence </w:t>
      </w:r>
      <w:r>
        <w:rPr>
          <w:rFonts w:asciiTheme="minorHAnsi" w:hAnsiTheme="minorHAnsi" w:cstheme="minorHAnsi"/>
          <w:sz w:val="22"/>
          <w:szCs w:val="22"/>
        </w:rPr>
        <w:t>in</w:t>
      </w:r>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8C37FB">
        <w:rPr>
          <w:rFonts w:asciiTheme="minorHAnsi" w:hAnsiTheme="minorHAnsi" w:cstheme="minorHAnsi"/>
          <w:sz w:val="22"/>
          <w:szCs w:val="22"/>
        </w:rPr>
        <w:t xml:space="preserve">omen </w:t>
      </w:r>
      <w:r>
        <w:rPr>
          <w:rFonts w:asciiTheme="minorHAnsi" w:hAnsiTheme="minorHAnsi" w:cstheme="minorHAnsi"/>
          <w:sz w:val="22"/>
          <w:szCs w:val="22"/>
        </w:rPr>
        <w:t>who had</w:t>
      </w:r>
      <w:r w:rsidRPr="008C37FB">
        <w:rPr>
          <w:rFonts w:asciiTheme="minorHAnsi" w:hAnsiTheme="minorHAnsi" w:cstheme="minorHAnsi"/>
          <w:sz w:val="22"/>
          <w:szCs w:val="22"/>
        </w:rPr>
        <w:t xml:space="preserve"> </w:t>
      </w:r>
      <w:r w:rsidRPr="00AF5464">
        <w:rPr>
          <w:rFonts w:asciiTheme="minorHAnsi" w:hAnsiTheme="minorHAnsi" w:cstheme="minorHAnsi"/>
          <w:sz w:val="22"/>
          <w:szCs w:val="22"/>
        </w:rPr>
        <w:t>higher household education level</w:t>
      </w:r>
      <w:r w:rsidR="00720D9C">
        <w:rPr>
          <w:rFonts w:asciiTheme="minorHAnsi" w:hAnsiTheme="minorHAnsi" w:cstheme="minorHAnsi"/>
          <w:sz w:val="22"/>
          <w:szCs w:val="22"/>
        </w:rPr>
        <w:t>s</w:t>
      </w:r>
      <w:r w:rsidRPr="00AF5464">
        <w:rPr>
          <w:rFonts w:asciiTheme="minorHAnsi" w:hAnsiTheme="minorHAnsi" w:cstheme="minorHAnsi"/>
          <w:sz w:val="22"/>
          <w:szCs w:val="22"/>
        </w:rPr>
        <w:t xml:space="preserve"> at age 13 (</w:t>
      </w:r>
      <w:r w:rsidR="00D229BE" w:rsidRPr="00AF5464">
        <w:rPr>
          <w:rFonts w:asciiTheme="minorHAnsi" w:hAnsiTheme="minorHAnsi" w:cstheme="minorHAnsi"/>
          <w:sz w:val="22"/>
          <w:szCs w:val="22"/>
        </w:rPr>
        <w:t>HR</w:t>
      </w:r>
      <w:r w:rsidR="00D229BE">
        <w:rPr>
          <w:rFonts w:asciiTheme="minorHAnsi" w:hAnsiTheme="minorHAnsi" w:cstheme="minorHAnsi"/>
          <w:sz w:val="22"/>
          <w:szCs w:val="22"/>
          <w:vertAlign w:val="subscript"/>
        </w:rPr>
        <w:t>B</w:t>
      </w:r>
      <w:r w:rsidR="00D229BE" w:rsidRPr="00A70AC9">
        <w:rPr>
          <w:rFonts w:asciiTheme="minorHAnsi" w:hAnsiTheme="minorHAnsi" w:cstheme="minorHAnsi"/>
          <w:sz w:val="22"/>
          <w:szCs w:val="22"/>
          <w:vertAlign w:val="subscript"/>
        </w:rPr>
        <w:t>achelor’s degree or higher vs high school,</w:t>
      </w:r>
      <w:r w:rsidR="00D229BE">
        <w:rPr>
          <w:rFonts w:asciiTheme="minorHAnsi" w:hAnsiTheme="minorHAnsi" w:cstheme="minorHAnsi"/>
          <w:sz w:val="22"/>
          <w:szCs w:val="22"/>
          <w:vertAlign w:val="subscript"/>
        </w:rPr>
        <w:t xml:space="preserve"> GED</w:t>
      </w:r>
      <w:r w:rsidR="00D229BE" w:rsidRPr="00A70AC9">
        <w:rPr>
          <w:rFonts w:asciiTheme="minorHAnsi" w:hAnsiTheme="minorHAnsi" w:cstheme="minorHAnsi"/>
          <w:sz w:val="22"/>
          <w:szCs w:val="22"/>
          <w:vertAlign w:val="subscript"/>
        </w:rPr>
        <w:t xml:space="preserve"> or less</w:t>
      </w:r>
      <w:r w:rsidR="00D229BE" w:rsidRPr="00AF5464">
        <w:rPr>
          <w:rFonts w:asciiTheme="minorHAnsi" w:hAnsiTheme="minorHAnsi" w:cstheme="minorHAnsi"/>
          <w:sz w:val="22"/>
          <w:szCs w:val="22"/>
        </w:rPr>
        <w:t>=</w:t>
      </w:r>
      <w:r w:rsidRPr="00AF5464">
        <w:rPr>
          <w:rFonts w:asciiTheme="minorHAnsi" w:hAnsiTheme="minorHAnsi" w:cstheme="minorHAnsi"/>
          <w:sz w:val="22"/>
          <w:szCs w:val="22"/>
        </w:rPr>
        <w:t>0.75, 95%CI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0.55-1.03). </w:t>
      </w:r>
      <w:r>
        <w:rPr>
          <w:rFonts w:asciiTheme="minorHAnsi" w:hAnsiTheme="minorHAnsi" w:cstheme="minorHAnsi"/>
          <w:sz w:val="22"/>
          <w:szCs w:val="22"/>
        </w:rPr>
        <w:t>We found n</w:t>
      </w:r>
      <w:r w:rsidRPr="00AF5464">
        <w:rPr>
          <w:rFonts w:asciiTheme="minorHAnsi" w:hAnsiTheme="minorHAnsi" w:cstheme="minorHAnsi"/>
          <w:sz w:val="22"/>
          <w:szCs w:val="22"/>
        </w:rPr>
        <w:t xml:space="preserve">o significant associations for other </w:t>
      </w:r>
      <w:r>
        <w:rPr>
          <w:rFonts w:asciiTheme="minorHAnsi" w:hAnsiTheme="minorHAnsi" w:cstheme="minorHAnsi"/>
          <w:sz w:val="22"/>
          <w:szCs w:val="22"/>
        </w:rPr>
        <w:t>factors</w:t>
      </w:r>
      <w:r w:rsidRPr="00AF5464">
        <w:rPr>
          <w:rFonts w:asciiTheme="minorHAnsi" w:hAnsiTheme="minorHAnsi" w:cstheme="minorHAnsi"/>
          <w:sz w:val="22"/>
          <w:szCs w:val="22"/>
        </w:rPr>
        <w:t>.</w:t>
      </w:r>
      <w:r w:rsidRPr="00F21F4A">
        <w:rPr>
          <w:rFonts w:asciiTheme="minorHAnsi" w:hAnsiTheme="minorHAnsi" w:cstheme="minorHAnsi"/>
          <w:sz w:val="22"/>
          <w:szCs w:val="22"/>
        </w:rPr>
        <w:t xml:space="preserve"> </w:t>
      </w:r>
      <w:r w:rsidRPr="00E7648B">
        <w:rPr>
          <w:rFonts w:asciiTheme="minorHAnsi" w:hAnsiTheme="minorHAnsi" w:cstheme="minorHAnsi"/>
          <w:sz w:val="22"/>
          <w:szCs w:val="22"/>
        </w:rPr>
        <w:t xml:space="preserve">Our findings suggest that </w:t>
      </w:r>
      <w:r w:rsidR="00AB6D8D">
        <w:rPr>
          <w:rFonts w:asciiTheme="minorHAnsi" w:hAnsiTheme="minorHAnsi" w:cstheme="minorHAnsi"/>
          <w:sz w:val="22"/>
          <w:szCs w:val="22"/>
        </w:rPr>
        <w:t xml:space="preserve">childhood growth, nutrition, and socioeconomic factors </w:t>
      </w:r>
      <w:r w:rsidRPr="00E7648B">
        <w:rPr>
          <w:rFonts w:asciiTheme="minorHAnsi" w:hAnsiTheme="minorHAnsi" w:cstheme="minorHAnsi"/>
          <w:sz w:val="22"/>
          <w:szCs w:val="22"/>
        </w:rPr>
        <w:t xml:space="preserve">may influence the development of </w:t>
      </w:r>
      <w:r>
        <w:rPr>
          <w:rFonts w:asciiTheme="minorHAnsi" w:hAnsiTheme="minorHAnsi" w:cstheme="minorHAnsi"/>
          <w:sz w:val="22"/>
          <w:szCs w:val="22"/>
        </w:rPr>
        <w:t>DTC</w:t>
      </w:r>
      <w:r w:rsidRPr="00E7648B">
        <w:rPr>
          <w:rFonts w:asciiTheme="minorHAnsi" w:hAnsiTheme="minorHAnsi" w:cstheme="minorHAnsi"/>
          <w:sz w:val="22"/>
          <w:szCs w:val="22"/>
        </w:rPr>
        <w:t xml:space="preserve"> in women. </w:t>
      </w:r>
      <w:r w:rsidR="00BA264F">
        <w:br w:type="page"/>
      </w:r>
    </w:p>
    <w:p w14:paraId="6AD607FD" w14:textId="2C7F95E3" w:rsidR="00A93E10" w:rsidRPr="008C37FB" w:rsidRDefault="00A93E10" w:rsidP="005923BB">
      <w:pPr>
        <w:pStyle w:val="Heading1"/>
      </w:pPr>
      <w:r w:rsidRPr="003C77CE">
        <w:lastRenderedPageBreak/>
        <w:t>Introduction</w:t>
      </w:r>
    </w:p>
    <w:p w14:paraId="1AF120AF" w14:textId="4AAD4579" w:rsidR="00771C3D" w:rsidRDefault="00713D01" w:rsidP="00A10BBF">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Thyroid cancer</w:t>
      </w:r>
      <w:r w:rsidR="005728F0">
        <w:rPr>
          <w:rFonts w:asciiTheme="minorHAnsi" w:hAnsiTheme="minorHAnsi" w:cstheme="minorHAnsi"/>
          <w:sz w:val="22"/>
          <w:szCs w:val="22"/>
        </w:rPr>
        <w:t xml:space="preserve"> </w:t>
      </w:r>
      <w:r w:rsidRPr="008C37FB">
        <w:rPr>
          <w:rFonts w:asciiTheme="minorHAnsi" w:hAnsiTheme="minorHAnsi" w:cstheme="minorHAnsi"/>
          <w:sz w:val="22"/>
          <w:szCs w:val="22"/>
        </w:rPr>
        <w:t>ranks as the fifth most common</w:t>
      </w:r>
      <w:r w:rsidR="00DE1770">
        <w:rPr>
          <w:rFonts w:asciiTheme="minorHAnsi" w:hAnsiTheme="minorHAnsi" w:cstheme="minorHAnsi"/>
          <w:sz w:val="22"/>
          <w:szCs w:val="22"/>
        </w:rPr>
        <w:t xml:space="preserve"> cancer</w:t>
      </w:r>
      <w:r w:rsidRPr="008C37FB">
        <w:rPr>
          <w:rFonts w:asciiTheme="minorHAnsi" w:hAnsiTheme="minorHAnsi" w:cstheme="minorHAnsi"/>
          <w:sz w:val="22"/>
          <w:szCs w:val="22"/>
        </w:rPr>
        <w:t xml:space="preserve"> in women globally</w:t>
      </w:r>
      <w:r w:rsidR="005513CA">
        <w:rPr>
          <w:rFonts w:asciiTheme="minorHAnsi" w:hAnsiTheme="minorHAnsi" w:cstheme="minorHAnsi"/>
          <w:sz w:val="22"/>
          <w:szCs w:val="22"/>
        </w:rPr>
        <w:t>.</w:t>
      </w:r>
      <w:r w:rsidR="002C60BD" w:rsidRPr="00A45EDC">
        <w:rPr>
          <w:rFonts w:asciiTheme="minorHAnsi" w:hAnsiTheme="minorHAnsi" w:cstheme="minorHAnsi"/>
          <w:sz w:val="22"/>
          <w:szCs w:val="22"/>
        </w:rPr>
        <w:fldChar w:fldCharType="begin"/>
      </w:r>
      <w:r w:rsidR="002C60BD" w:rsidRPr="00A45EDC">
        <w:rPr>
          <w:rFonts w:asciiTheme="minorHAnsi" w:hAnsiTheme="minorHAnsi" w:cstheme="minorHAnsi"/>
          <w:sz w:val="22"/>
          <w:szCs w:val="22"/>
        </w:rPr>
        <w:instrText xml:space="preserve"> ADDIN EN.CITE &lt;EndNote&gt;&lt;Cite&gt;&lt;Author&gt;Ferlay J&lt;/Author&gt;&lt;Year&gt;2020&lt;/Year&gt;&lt;RecNum&gt;334&lt;/RecNum&gt;&lt;DisplayText&gt;&lt;style face="superscript"&gt;1&lt;/style&gt;&lt;/DisplayText&gt;&lt;record&gt;&lt;rec-number&gt;334&lt;/rec-number&gt;&lt;foreign-keys&gt;&lt;key app="EN" db-id="9eeeap9akwrsete9ft3xp2puxwwrw9ev5fd0" timestamp="1703879209"&gt;334&lt;/key&gt;&lt;/foreign-keys&gt;&lt;ref-type name="Web Page"&gt;12&lt;/ref-type&gt;&lt;contributors&gt;&lt;authors&gt;&lt;author&gt;Ferlay J, Ervik M, Lam F, Colombet M, Mery L, Piñeros M, Znaor A, Soerjomataram I, Bray F&lt;/author&gt;&lt;/authors&gt;&lt;/contributors&gt;&lt;titles&gt;&lt;title&gt;Global Cancer Observatory: Cancer Today. Lyon, France: International Agency for Research on Cancer&lt;/title&gt;&lt;/titles&gt;&lt;number&gt;December 29, 2023&lt;/number&gt;&lt;dates&gt;&lt;year&gt;2020&lt;/year&gt;&lt;/dates&gt;&lt;pub-location&gt;Lyon, France&lt;/pub-location&gt;&lt;publisher&gt;International Agency for Research on Cancer&lt;/publisher&gt;&lt;urls&gt;&lt;related-urls&gt;&lt;url&gt;https://gco.iarc.fr/today&lt;/url&gt;&lt;/related-urls&gt;&lt;/urls&gt;&lt;/record&gt;&lt;/Cite&gt;&lt;/EndNote&gt;</w:instrText>
      </w:r>
      <w:r w:rsidR="002C60BD" w:rsidRPr="00A45EDC">
        <w:rPr>
          <w:rFonts w:asciiTheme="minorHAnsi" w:hAnsiTheme="minorHAnsi" w:cstheme="minorHAnsi"/>
          <w:sz w:val="22"/>
          <w:szCs w:val="22"/>
        </w:rPr>
        <w:fldChar w:fldCharType="separate"/>
      </w:r>
      <w:r w:rsidR="002C60BD" w:rsidRPr="00A45EDC">
        <w:rPr>
          <w:rFonts w:asciiTheme="minorHAnsi" w:hAnsiTheme="minorHAnsi" w:cstheme="minorHAnsi"/>
          <w:noProof/>
          <w:sz w:val="22"/>
          <w:szCs w:val="22"/>
          <w:vertAlign w:val="superscript"/>
        </w:rPr>
        <w:t>1</w:t>
      </w:r>
      <w:r w:rsidR="002C60BD" w:rsidRPr="00A45EDC">
        <w:rPr>
          <w:rFonts w:asciiTheme="minorHAnsi" w:hAnsiTheme="minorHAnsi" w:cstheme="minorHAnsi"/>
          <w:sz w:val="22"/>
          <w:szCs w:val="22"/>
        </w:rPr>
        <w:fldChar w:fldCharType="end"/>
      </w:r>
      <w:r w:rsidR="005513CA">
        <w:rPr>
          <w:rFonts w:asciiTheme="minorHAnsi" w:hAnsiTheme="minorHAnsi" w:cstheme="minorHAnsi"/>
          <w:sz w:val="22"/>
          <w:szCs w:val="22"/>
        </w:rPr>
        <w:t xml:space="preserve"> </w:t>
      </w:r>
      <w:r w:rsidR="00E017B1">
        <w:rPr>
          <w:rFonts w:asciiTheme="minorHAnsi" w:hAnsiTheme="minorHAnsi" w:cstheme="minorHAnsi"/>
          <w:sz w:val="22"/>
          <w:szCs w:val="22"/>
        </w:rPr>
        <w:t>F</w:t>
      </w:r>
      <w:r w:rsidR="002F2751">
        <w:rPr>
          <w:rFonts w:asciiTheme="minorHAnsi" w:hAnsiTheme="minorHAnsi" w:cstheme="minorHAnsi"/>
          <w:sz w:val="22"/>
          <w:szCs w:val="22"/>
        </w:rPr>
        <w:t>ew modifiable risk factors have been identified</w:t>
      </w:r>
      <w:r w:rsidR="00F6052C">
        <w:rPr>
          <w:rFonts w:asciiTheme="minorHAnsi" w:hAnsiTheme="minorHAnsi" w:cstheme="minorHAnsi"/>
          <w:sz w:val="22"/>
          <w:szCs w:val="22"/>
        </w:rPr>
        <w:t xml:space="preserve">, apart </w:t>
      </w:r>
      <w:r w:rsidR="00062D7A">
        <w:rPr>
          <w:rFonts w:asciiTheme="minorHAnsi" w:hAnsiTheme="minorHAnsi" w:cstheme="minorHAnsi"/>
          <w:sz w:val="22"/>
          <w:szCs w:val="22"/>
        </w:rPr>
        <w:t>from</w:t>
      </w:r>
      <w:r w:rsidR="00321494">
        <w:rPr>
          <w:rFonts w:asciiTheme="minorHAnsi" w:hAnsiTheme="minorHAnsi" w:cstheme="minorHAnsi"/>
          <w:sz w:val="22"/>
          <w:szCs w:val="22"/>
        </w:rPr>
        <w:t xml:space="preserve"> </w:t>
      </w:r>
      <w:r w:rsidR="00331F5D">
        <w:rPr>
          <w:rFonts w:asciiTheme="minorHAnsi" w:hAnsiTheme="minorHAnsi" w:cstheme="minorHAnsi"/>
          <w:sz w:val="22"/>
          <w:szCs w:val="22"/>
        </w:rPr>
        <w:t xml:space="preserve">obesity and childhood </w:t>
      </w:r>
      <w:r w:rsidR="002A1DF3">
        <w:rPr>
          <w:rFonts w:asciiTheme="minorHAnsi" w:hAnsiTheme="minorHAnsi" w:cstheme="minorHAnsi"/>
          <w:sz w:val="22"/>
          <w:szCs w:val="22"/>
        </w:rPr>
        <w:t xml:space="preserve">exposure to </w:t>
      </w:r>
      <w:r w:rsidR="009B7028">
        <w:rPr>
          <w:rFonts w:asciiTheme="minorHAnsi" w:hAnsiTheme="minorHAnsi" w:cstheme="minorHAnsi"/>
          <w:sz w:val="22"/>
          <w:szCs w:val="22"/>
        </w:rPr>
        <w:t>ionizing radiation</w:t>
      </w:r>
      <w:r w:rsidR="002F2751">
        <w:rPr>
          <w:rFonts w:asciiTheme="minorHAnsi" w:hAnsiTheme="minorHAnsi" w:cstheme="minorHAnsi"/>
          <w:sz w:val="22"/>
          <w:szCs w:val="22"/>
        </w:rPr>
        <w:t>.</w:t>
      </w:r>
      <w:r w:rsidR="00F464EC" w:rsidRPr="00A45EDC">
        <w:rPr>
          <w:rFonts w:asciiTheme="minorHAnsi" w:hAnsiTheme="minorHAnsi" w:cstheme="minorHAnsi"/>
          <w:sz w:val="22"/>
          <w:szCs w:val="22"/>
        </w:rPr>
        <w:fldChar w:fldCharType="begin"/>
      </w:r>
      <w:r w:rsidR="00F464EC"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F464EC" w:rsidRPr="00A45EDC">
        <w:rPr>
          <w:rFonts w:asciiTheme="minorHAnsi" w:hAnsiTheme="minorHAnsi" w:cstheme="minorHAnsi"/>
          <w:sz w:val="22"/>
          <w:szCs w:val="22"/>
        </w:rPr>
        <w:fldChar w:fldCharType="separate"/>
      </w:r>
      <w:r w:rsidR="00F464EC" w:rsidRPr="00A45EDC">
        <w:rPr>
          <w:rFonts w:asciiTheme="minorHAnsi" w:hAnsiTheme="minorHAnsi" w:cstheme="minorHAnsi"/>
          <w:noProof/>
          <w:sz w:val="22"/>
          <w:szCs w:val="22"/>
          <w:vertAlign w:val="superscript"/>
        </w:rPr>
        <w:t>2</w:t>
      </w:r>
      <w:r w:rsidR="00F464EC" w:rsidRPr="00A45EDC">
        <w:rPr>
          <w:rFonts w:asciiTheme="minorHAnsi" w:hAnsiTheme="minorHAnsi" w:cstheme="minorHAnsi"/>
          <w:sz w:val="22"/>
          <w:szCs w:val="22"/>
        </w:rPr>
        <w:fldChar w:fldCharType="end"/>
      </w:r>
      <w:r w:rsidR="002F2751">
        <w:rPr>
          <w:rFonts w:asciiTheme="minorHAnsi" w:hAnsiTheme="minorHAnsi" w:cstheme="minorHAnsi"/>
          <w:sz w:val="22"/>
          <w:szCs w:val="22"/>
        </w:rPr>
        <w:t xml:space="preserve"> </w:t>
      </w:r>
      <w:r w:rsidR="00AB6D8D">
        <w:rPr>
          <w:rFonts w:asciiTheme="minorHAnsi" w:hAnsiTheme="minorHAnsi" w:cstheme="minorHAnsi"/>
          <w:sz w:val="22"/>
          <w:szCs w:val="22"/>
        </w:rPr>
        <w:t>T</w:t>
      </w:r>
      <w:r w:rsidR="001F12CA" w:rsidRPr="005513CA">
        <w:rPr>
          <w:rFonts w:asciiTheme="minorHAnsi" w:hAnsiTheme="minorHAnsi" w:cstheme="minorHAnsi"/>
          <w:sz w:val="22"/>
          <w:szCs w:val="22"/>
        </w:rPr>
        <w:t>he slow growth of most thyroid nodules</w:t>
      </w:r>
      <w:r w:rsidR="007C60DF">
        <w:rPr>
          <w:rFonts w:asciiTheme="minorHAnsi" w:hAnsiTheme="minorHAnsi" w:cstheme="minorHAnsi"/>
          <w:sz w:val="22"/>
          <w:szCs w:val="22"/>
        </w:rPr>
        <w:t>,</w:t>
      </w:r>
      <w:r w:rsidR="00951129">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 </w:instrText>
      </w:r>
      <w:r w:rsidR="005F4CAE">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EN.CITE.DATA </w:instrText>
      </w:r>
      <w:r w:rsidR="005F4CAE">
        <w:rPr>
          <w:rFonts w:asciiTheme="minorHAnsi" w:hAnsiTheme="minorHAnsi" w:cstheme="minorHAnsi"/>
          <w:sz w:val="22"/>
          <w:szCs w:val="22"/>
        </w:rPr>
      </w:r>
      <w:r w:rsidR="005F4CAE">
        <w:rPr>
          <w:rFonts w:asciiTheme="minorHAnsi" w:hAnsiTheme="minorHAnsi" w:cstheme="minorHAnsi"/>
          <w:sz w:val="22"/>
          <w:szCs w:val="22"/>
        </w:rPr>
        <w:fldChar w:fldCharType="end"/>
      </w:r>
      <w:r w:rsidR="00951129">
        <w:rPr>
          <w:rFonts w:asciiTheme="minorHAnsi" w:hAnsiTheme="minorHAnsi" w:cstheme="minorHAnsi"/>
          <w:sz w:val="22"/>
          <w:szCs w:val="22"/>
        </w:rPr>
      </w:r>
      <w:r w:rsidR="00951129">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3,4</w:t>
      </w:r>
      <w:r w:rsidR="00951129">
        <w:rPr>
          <w:rFonts w:asciiTheme="minorHAnsi" w:hAnsiTheme="minorHAnsi" w:cstheme="minorHAnsi"/>
          <w:sz w:val="22"/>
          <w:szCs w:val="22"/>
        </w:rPr>
        <w:fldChar w:fldCharType="end"/>
      </w:r>
      <w:r w:rsidR="00B27116">
        <w:rPr>
          <w:rFonts w:asciiTheme="minorHAnsi" w:hAnsiTheme="minorHAnsi" w:cstheme="minorHAnsi"/>
          <w:sz w:val="22"/>
          <w:szCs w:val="22"/>
        </w:rPr>
        <w:t xml:space="preserve"> </w:t>
      </w:r>
      <w:r w:rsidR="001F12CA">
        <w:rPr>
          <w:rFonts w:asciiTheme="minorHAnsi" w:hAnsiTheme="minorHAnsi" w:cstheme="minorHAnsi"/>
          <w:sz w:val="22"/>
          <w:szCs w:val="22"/>
        </w:rPr>
        <w:t xml:space="preserve">the relatively young age at diagnosis </w:t>
      </w:r>
      <w:r w:rsidR="001F12CA" w:rsidRPr="008C37FB">
        <w:rPr>
          <w:rFonts w:asciiTheme="minorHAnsi" w:hAnsiTheme="minorHAnsi" w:cstheme="minorHAnsi"/>
          <w:sz w:val="22"/>
          <w:szCs w:val="22"/>
        </w:rPr>
        <w:t>compared to other cancers</w:t>
      </w:r>
      <w:r w:rsidR="001F12CA">
        <w:rPr>
          <w:rFonts w:asciiTheme="minorHAnsi" w:hAnsiTheme="minorHAnsi" w:cstheme="minorHAnsi"/>
          <w:sz w:val="22"/>
          <w:szCs w:val="22"/>
        </w:rPr>
        <w:t>,</w:t>
      </w:r>
      <w:r w:rsidR="007267D9" w:rsidRPr="00A45EDC">
        <w:rPr>
          <w:rFonts w:asciiTheme="minorHAnsi" w:hAnsiTheme="minorHAnsi" w:cstheme="minorHAnsi"/>
          <w:sz w:val="22"/>
          <w:szCs w:val="22"/>
        </w:rPr>
        <w:fldChar w:fldCharType="begin"/>
      </w:r>
      <w:r w:rsidR="007267D9"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7267D9" w:rsidRPr="00A45EDC">
        <w:rPr>
          <w:rFonts w:asciiTheme="minorHAnsi" w:hAnsiTheme="minorHAnsi" w:cstheme="minorHAnsi"/>
          <w:sz w:val="22"/>
          <w:szCs w:val="22"/>
        </w:rPr>
        <w:fldChar w:fldCharType="separate"/>
      </w:r>
      <w:r w:rsidR="007267D9" w:rsidRPr="00A45EDC">
        <w:rPr>
          <w:rFonts w:asciiTheme="minorHAnsi" w:hAnsiTheme="minorHAnsi" w:cstheme="minorHAnsi"/>
          <w:noProof/>
          <w:sz w:val="22"/>
          <w:szCs w:val="22"/>
          <w:vertAlign w:val="superscript"/>
        </w:rPr>
        <w:t>2</w:t>
      </w:r>
      <w:r w:rsidR="007267D9" w:rsidRPr="00A45EDC">
        <w:rPr>
          <w:rFonts w:asciiTheme="minorHAnsi" w:hAnsiTheme="minorHAnsi" w:cstheme="minorHAnsi"/>
          <w:sz w:val="22"/>
          <w:szCs w:val="22"/>
        </w:rPr>
        <w:fldChar w:fldCharType="end"/>
      </w:r>
      <w:r w:rsidR="001F12CA">
        <w:rPr>
          <w:rFonts w:asciiTheme="minorHAnsi" w:hAnsiTheme="minorHAnsi" w:cstheme="minorHAnsi"/>
          <w:sz w:val="22"/>
          <w:szCs w:val="22"/>
        </w:rPr>
        <w:t xml:space="preserve"> </w:t>
      </w:r>
      <w:r w:rsidR="00896E1E">
        <w:rPr>
          <w:rFonts w:asciiTheme="minorHAnsi" w:hAnsiTheme="minorHAnsi" w:cstheme="minorHAnsi"/>
          <w:sz w:val="22"/>
          <w:szCs w:val="22"/>
        </w:rPr>
        <w:t>and t</w:t>
      </w:r>
      <w:r w:rsidR="00896E1E" w:rsidRPr="00834CD0">
        <w:rPr>
          <w:rFonts w:asciiTheme="minorHAnsi" w:hAnsiTheme="minorHAnsi" w:cstheme="minorHAnsi"/>
          <w:sz w:val="22"/>
          <w:szCs w:val="22"/>
        </w:rPr>
        <w:t>he higher incidence in women compared to men start</w:t>
      </w:r>
      <w:r w:rsidR="00896E1E">
        <w:rPr>
          <w:rFonts w:asciiTheme="minorHAnsi" w:hAnsiTheme="minorHAnsi" w:cstheme="minorHAnsi"/>
          <w:sz w:val="22"/>
          <w:szCs w:val="22"/>
        </w:rPr>
        <w:t>ing</w:t>
      </w:r>
      <w:r w:rsidR="00896E1E" w:rsidRPr="00834CD0">
        <w:rPr>
          <w:rFonts w:asciiTheme="minorHAnsi" w:hAnsiTheme="minorHAnsi" w:cstheme="minorHAnsi"/>
          <w:sz w:val="22"/>
          <w:szCs w:val="22"/>
        </w:rPr>
        <w:t xml:space="preserve"> </w:t>
      </w:r>
      <w:r w:rsidR="00896E1E">
        <w:rPr>
          <w:rFonts w:asciiTheme="minorHAnsi" w:hAnsiTheme="minorHAnsi" w:cstheme="minorHAnsi"/>
          <w:sz w:val="22"/>
          <w:szCs w:val="22"/>
        </w:rPr>
        <w:t>from</w:t>
      </w:r>
      <w:r w:rsidR="00896E1E" w:rsidRPr="00834CD0">
        <w:rPr>
          <w:rFonts w:asciiTheme="minorHAnsi" w:hAnsiTheme="minorHAnsi" w:cstheme="minorHAnsi"/>
          <w:sz w:val="22"/>
          <w:szCs w:val="22"/>
        </w:rPr>
        <w:t xml:space="preserve"> early adolescence</w:t>
      </w:r>
      <w:r w:rsidR="00E46B4A">
        <w:rPr>
          <w:rFonts w:asciiTheme="minorHAnsi" w:hAnsiTheme="minorHAnsi" w:cstheme="minorHAnsi"/>
          <w:sz w:val="22"/>
          <w:szCs w:val="22"/>
        </w:rPr>
        <w:fldChar w:fldCharType="begin"/>
      </w:r>
      <w:r w:rsidR="005F4CAE">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E46B4A">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5</w:t>
      </w:r>
      <w:r w:rsidR="00E46B4A">
        <w:rPr>
          <w:rFonts w:asciiTheme="minorHAnsi" w:hAnsiTheme="minorHAnsi" w:cstheme="minorHAnsi"/>
          <w:sz w:val="22"/>
          <w:szCs w:val="22"/>
        </w:rPr>
        <w:fldChar w:fldCharType="end"/>
      </w:r>
      <w:r w:rsidR="00896E1E">
        <w:rPr>
          <w:rFonts w:asciiTheme="minorHAnsi" w:hAnsiTheme="minorHAnsi" w:cstheme="minorHAnsi"/>
          <w:sz w:val="22"/>
          <w:szCs w:val="22"/>
        </w:rPr>
        <w:t xml:space="preserve"> </w:t>
      </w:r>
      <w:r w:rsidR="00487F0D">
        <w:rPr>
          <w:rFonts w:asciiTheme="minorHAnsi" w:hAnsiTheme="minorHAnsi" w:cstheme="minorHAnsi"/>
          <w:sz w:val="22"/>
          <w:szCs w:val="22"/>
        </w:rPr>
        <w:t xml:space="preserve">suggest that </w:t>
      </w:r>
      <w:r w:rsidR="002A1DF3">
        <w:rPr>
          <w:rFonts w:asciiTheme="minorHAnsi" w:hAnsiTheme="minorHAnsi" w:cstheme="minorHAnsi"/>
          <w:sz w:val="22"/>
          <w:szCs w:val="22"/>
        </w:rPr>
        <w:t>biologi</w:t>
      </w:r>
      <w:r w:rsidR="00AD0580">
        <w:rPr>
          <w:rFonts w:asciiTheme="minorHAnsi" w:hAnsiTheme="minorHAnsi" w:cstheme="minorHAnsi"/>
          <w:sz w:val="22"/>
          <w:szCs w:val="22"/>
        </w:rPr>
        <w:t xml:space="preserve">cal </w:t>
      </w:r>
      <w:r w:rsidR="001F12CA">
        <w:rPr>
          <w:rFonts w:asciiTheme="minorHAnsi" w:hAnsiTheme="minorHAnsi" w:cstheme="minorHAnsi"/>
          <w:sz w:val="22"/>
          <w:szCs w:val="22"/>
        </w:rPr>
        <w:t>factors</w:t>
      </w:r>
      <w:r w:rsidR="001F12CA" w:rsidRPr="005513CA">
        <w:rPr>
          <w:rFonts w:asciiTheme="minorHAnsi" w:hAnsiTheme="minorHAnsi" w:cstheme="minorHAnsi"/>
          <w:sz w:val="22"/>
          <w:szCs w:val="22"/>
        </w:rPr>
        <w:t xml:space="preserve"> contributing to thyroid cancer</w:t>
      </w:r>
      <w:r w:rsidR="001F12CA">
        <w:rPr>
          <w:rFonts w:asciiTheme="minorHAnsi" w:hAnsiTheme="minorHAnsi" w:cstheme="minorHAnsi"/>
          <w:sz w:val="22"/>
          <w:szCs w:val="22"/>
        </w:rPr>
        <w:t xml:space="preserve"> development</w:t>
      </w:r>
      <w:r w:rsidR="001F12CA" w:rsidRPr="005513CA">
        <w:rPr>
          <w:rFonts w:asciiTheme="minorHAnsi" w:hAnsiTheme="minorHAnsi" w:cstheme="minorHAnsi"/>
          <w:sz w:val="22"/>
          <w:szCs w:val="22"/>
        </w:rPr>
        <w:t xml:space="preserve"> may </w:t>
      </w:r>
      <w:r w:rsidR="001F12CA">
        <w:rPr>
          <w:rFonts w:asciiTheme="minorHAnsi" w:hAnsiTheme="minorHAnsi" w:cstheme="minorHAnsi"/>
          <w:sz w:val="22"/>
          <w:szCs w:val="22"/>
        </w:rPr>
        <w:t>originate</w:t>
      </w:r>
      <w:r w:rsidR="001A278A">
        <w:rPr>
          <w:rFonts w:asciiTheme="minorHAnsi" w:hAnsiTheme="minorHAnsi" w:cstheme="minorHAnsi"/>
          <w:sz w:val="22"/>
          <w:szCs w:val="22"/>
        </w:rPr>
        <w:t xml:space="preserve"> at a </w:t>
      </w:r>
      <w:r w:rsidR="008F513E">
        <w:rPr>
          <w:rFonts w:asciiTheme="minorHAnsi" w:hAnsiTheme="minorHAnsi" w:cstheme="minorHAnsi"/>
          <w:sz w:val="22"/>
          <w:szCs w:val="22"/>
        </w:rPr>
        <w:t>very young age</w:t>
      </w:r>
      <w:r w:rsidR="00E31745">
        <w:rPr>
          <w:rFonts w:asciiTheme="minorHAnsi" w:hAnsiTheme="minorHAnsi" w:cstheme="minorHAnsi"/>
          <w:sz w:val="22"/>
          <w:szCs w:val="22"/>
        </w:rPr>
        <w:t xml:space="preserve">. </w:t>
      </w:r>
    </w:p>
    <w:p w14:paraId="2241A696" w14:textId="1DF1DFB7" w:rsidR="00544B9A" w:rsidRDefault="00A10BBF" w:rsidP="00C12F61">
      <w:pPr>
        <w:pStyle w:val="NormalWeb"/>
        <w:spacing w:line="360" w:lineRule="auto"/>
        <w:rPr>
          <w:rFonts w:asciiTheme="minorHAnsi" w:hAnsiTheme="minorHAnsi" w:cstheme="minorHAnsi"/>
          <w:sz w:val="22"/>
          <w:szCs w:val="22"/>
        </w:rPr>
      </w:pPr>
      <w:r w:rsidRPr="00A10BBF">
        <w:rPr>
          <w:rFonts w:asciiTheme="minorHAnsi" w:hAnsiTheme="minorHAnsi" w:cstheme="minorHAnsi"/>
          <w:sz w:val="22"/>
          <w:szCs w:val="22"/>
        </w:rPr>
        <w:t xml:space="preserve">During </w:t>
      </w:r>
      <w:r w:rsidR="008F513E">
        <w:rPr>
          <w:rFonts w:asciiTheme="minorHAnsi" w:hAnsiTheme="minorHAnsi" w:cstheme="minorHAnsi"/>
          <w:sz w:val="22"/>
          <w:szCs w:val="22"/>
        </w:rPr>
        <w:t>childhood and adolescence</w:t>
      </w:r>
      <w:r>
        <w:rPr>
          <w:rFonts w:asciiTheme="minorHAnsi" w:hAnsiTheme="minorHAnsi" w:cstheme="minorHAnsi"/>
          <w:sz w:val="22"/>
          <w:szCs w:val="22"/>
        </w:rPr>
        <w:t xml:space="preserve">, </w:t>
      </w:r>
      <w:r w:rsidR="00362DAA">
        <w:rPr>
          <w:rFonts w:asciiTheme="minorHAnsi" w:hAnsiTheme="minorHAnsi" w:cstheme="minorHAnsi"/>
          <w:sz w:val="22"/>
          <w:szCs w:val="22"/>
        </w:rPr>
        <w:t xml:space="preserve">particularly during puberty, </w:t>
      </w:r>
      <w:r>
        <w:rPr>
          <w:rFonts w:asciiTheme="minorHAnsi" w:hAnsiTheme="minorHAnsi" w:cstheme="minorHAnsi"/>
          <w:sz w:val="22"/>
          <w:szCs w:val="22"/>
        </w:rPr>
        <w:t>women</w:t>
      </w:r>
      <w:r w:rsidR="00BE406F">
        <w:rPr>
          <w:rFonts w:asciiTheme="minorHAnsi" w:hAnsiTheme="minorHAnsi" w:cstheme="minorHAnsi"/>
          <w:sz w:val="22"/>
          <w:szCs w:val="22"/>
        </w:rPr>
        <w:t xml:space="preserve"> experience</w:t>
      </w:r>
      <w:r w:rsidR="007E7BA9">
        <w:rPr>
          <w:rFonts w:asciiTheme="minorHAnsi" w:hAnsiTheme="minorHAnsi" w:cstheme="minorHAnsi"/>
          <w:sz w:val="22"/>
          <w:szCs w:val="22"/>
        </w:rPr>
        <w:t xml:space="preserve"> significant </w:t>
      </w:r>
      <w:r w:rsidR="002A1A13">
        <w:rPr>
          <w:rFonts w:asciiTheme="minorHAnsi" w:hAnsiTheme="minorHAnsi" w:cstheme="minorHAnsi"/>
          <w:sz w:val="22"/>
          <w:szCs w:val="22"/>
        </w:rPr>
        <w:t>changes</w:t>
      </w:r>
      <w:r w:rsidR="002C3578">
        <w:rPr>
          <w:rFonts w:asciiTheme="minorHAnsi" w:hAnsiTheme="minorHAnsi" w:cstheme="minorHAnsi"/>
          <w:sz w:val="22"/>
          <w:szCs w:val="22"/>
        </w:rPr>
        <w:t xml:space="preserve"> in </w:t>
      </w:r>
      <w:r w:rsidR="00FE2A77">
        <w:rPr>
          <w:rFonts w:asciiTheme="minorHAnsi" w:hAnsiTheme="minorHAnsi" w:cstheme="minorHAnsi"/>
          <w:sz w:val="22"/>
          <w:szCs w:val="22"/>
        </w:rPr>
        <w:t>levels of</w:t>
      </w:r>
      <w:r w:rsidR="00356879">
        <w:rPr>
          <w:rFonts w:asciiTheme="minorHAnsi" w:hAnsiTheme="minorHAnsi" w:cstheme="minorHAnsi"/>
          <w:sz w:val="22"/>
          <w:szCs w:val="22"/>
        </w:rPr>
        <w:t xml:space="preserve"> sex </w:t>
      </w:r>
      <w:r w:rsidR="00356879" w:rsidRPr="00834CD0">
        <w:rPr>
          <w:rFonts w:asciiTheme="minorHAnsi" w:hAnsiTheme="minorHAnsi" w:cstheme="minorHAnsi"/>
          <w:sz w:val="22"/>
          <w:szCs w:val="22"/>
        </w:rPr>
        <w:t>steroid hormones</w:t>
      </w:r>
      <w:r w:rsidR="00356879">
        <w:rPr>
          <w:rFonts w:asciiTheme="minorHAnsi" w:hAnsiTheme="minorHAnsi" w:cstheme="minorHAnsi"/>
          <w:sz w:val="22"/>
          <w:szCs w:val="22"/>
        </w:rPr>
        <w:t>,</w:t>
      </w:r>
      <w:r w:rsidR="005637BD">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5637BD">
        <w:rPr>
          <w:rFonts w:asciiTheme="minorHAnsi" w:hAnsiTheme="minorHAnsi" w:cstheme="minorHAnsi"/>
          <w:sz w:val="22"/>
          <w:szCs w:val="22"/>
        </w:rPr>
      </w:r>
      <w:r w:rsidR="005637BD">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6</w:t>
      </w:r>
      <w:r w:rsidR="005637BD">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021B4F">
        <w:rPr>
          <w:rFonts w:asciiTheme="minorHAnsi" w:hAnsiTheme="minorHAnsi" w:cstheme="minorHAnsi"/>
          <w:sz w:val="22"/>
          <w:szCs w:val="22"/>
        </w:rPr>
        <w:t>growth hormone</w:t>
      </w:r>
      <w:r w:rsidR="00356879" w:rsidRPr="00834CD0">
        <w:rPr>
          <w:rFonts w:asciiTheme="minorHAnsi" w:hAnsiTheme="minorHAnsi" w:cstheme="minorHAnsi"/>
          <w:sz w:val="22"/>
          <w:szCs w:val="22"/>
        </w:rPr>
        <w:t>,</w:t>
      </w:r>
      <w:r w:rsidR="00CB55EE">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&lt;EndNote&gt;&lt;Cite&gt;&lt;Author&gt;Toublanc&lt;/Author&gt;&lt;Year&gt;1997&lt;/Year&gt;&lt;RecNum&gt;427&lt;/RecNum&gt;&lt;DisplayText&gt;&lt;style face="superscript"&gt;7&lt;/style&gt;&lt;/DisplayText&gt;&lt;record&gt;&lt;rec-number&gt;427&lt;/rec-number&gt;&lt;foreign-keys&gt;&lt;key app="EN" db-id="9eeeap9akwrsete9ft3xp2puxwwrw9ev5fd0" timestamp="1723082823"&gt;427&lt;/key&gt;&lt;/foreign-keys&gt;&lt;ref-type name="Journal Article"&gt;17&lt;/ref-type&gt;&lt;contributors&gt;&lt;authors&gt;&lt;author&gt;Toublanc, J. E.&lt;/author&gt;&lt;/authors&gt;&lt;/contributors&gt;&lt;auth-address&gt;Hôpital St. Vincent de Paul, Paris, France.&lt;/auth-address&gt;&lt;titles&gt;&lt;title&gt;Modifications of growth hormone secretion during female puberty&lt;/title&gt;&lt;secondary-title&gt;Ann N Y Acad Sci&lt;/secondary-title&gt;&lt;/titles&gt;&lt;periodical&gt;&lt;full-title&gt;Ann N Y Acad Sci&lt;/full-title&gt;&lt;/periodical&gt;&lt;pages&gt;60-75&lt;/pages&gt;&lt;volume&gt;816&lt;/volume&gt;&lt;keywords&gt;&lt;keyword&gt;Adolescent&lt;/keyword&gt;&lt;keyword&gt;Bone Density/physiology&lt;/keyword&gt;&lt;keyword&gt;Child&lt;/keyword&gt;&lt;keyword&gt;Female&lt;/keyword&gt;&lt;keyword&gt;Growth Hormone/*metabolism/*physiology&lt;/keyword&gt;&lt;keyword&gt;Humans&lt;/keyword&gt;&lt;keyword&gt;Puberty/metabolism/*physiology&lt;/keyword&gt;&lt;/keywords&gt;&lt;dates&gt;&lt;year&gt;1997&lt;/year&gt;&lt;pub-dates&gt;&lt;date&gt;Jun 17&lt;/date&gt;&lt;/pub-dates&gt;&lt;/dates&gt;&lt;isbn&gt;0077-8923 (Print)&amp;#xD;0077-8923&lt;/isbn&gt;&lt;accession-num&gt;9238256&lt;/accession-num&gt;&lt;urls&gt;&lt;/urls&gt;&lt;electronic-resource-num&gt;10.1111/j.1749-6632.1997.tb52130.x&lt;/electronic-resource-num&gt;&lt;remote-database-provider&gt;NLM&lt;/remote-database-provider&gt;&lt;language&gt;eng&lt;/language&gt;&lt;/record&gt;&lt;/Cite&gt;&lt;/EndNote&gt;</w:instrText>
      </w:r>
      <w:r w:rsidR="00CB55E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7</w:t>
      </w:r>
      <w:r w:rsidR="00CB55EE">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7F47DF">
        <w:rPr>
          <w:rFonts w:asciiTheme="minorHAnsi" w:hAnsiTheme="minorHAnsi" w:cstheme="minorHAnsi"/>
          <w:sz w:val="22"/>
          <w:szCs w:val="22"/>
        </w:rPr>
        <w:t xml:space="preserve">and </w:t>
      </w:r>
      <w:r w:rsidR="00356879" w:rsidRPr="00834CD0">
        <w:rPr>
          <w:rFonts w:asciiTheme="minorHAnsi" w:hAnsiTheme="minorHAnsi" w:cstheme="minorHAnsi"/>
          <w:sz w:val="22"/>
          <w:szCs w:val="22"/>
        </w:rPr>
        <w:t>insulin-like growth factor-1</w:t>
      </w:r>
      <w:r w:rsidR="00D42438">
        <w:rPr>
          <w:rFonts w:asciiTheme="minorHAnsi" w:hAnsiTheme="minorHAnsi" w:cstheme="minorHAnsi"/>
          <w:sz w:val="22"/>
          <w:szCs w:val="22"/>
        </w:rPr>
        <w:t xml:space="preserve"> (IGF-1)</w:t>
      </w:r>
      <w:r w:rsidR="005A7B04">
        <w:rPr>
          <w:rFonts w:asciiTheme="minorHAnsi" w:hAnsiTheme="minorHAnsi" w:cstheme="minorHAnsi"/>
          <w:sz w:val="22"/>
          <w:szCs w:val="22"/>
        </w:rPr>
        <w:t>,</w:t>
      </w:r>
      <w:r w:rsidR="00927079">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27079">
        <w:rPr>
          <w:rFonts w:asciiTheme="minorHAnsi" w:hAnsiTheme="minorHAnsi" w:cstheme="minorHAnsi"/>
          <w:sz w:val="22"/>
          <w:szCs w:val="22"/>
        </w:rPr>
      </w:r>
      <w:r w:rsidR="0092707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8,9</w:t>
      </w:r>
      <w:r w:rsidR="00927079">
        <w:rPr>
          <w:rFonts w:asciiTheme="minorHAnsi" w:hAnsiTheme="minorHAnsi" w:cstheme="minorHAnsi"/>
          <w:sz w:val="22"/>
          <w:szCs w:val="22"/>
        </w:rPr>
        <w:fldChar w:fldCharType="end"/>
      </w:r>
      <w:r w:rsidR="005A7B04">
        <w:rPr>
          <w:rFonts w:asciiTheme="minorHAnsi" w:hAnsiTheme="minorHAnsi" w:cstheme="minorHAnsi"/>
          <w:sz w:val="22"/>
          <w:szCs w:val="22"/>
        </w:rPr>
        <w:t xml:space="preserve"> which contribute to sexual development, and changes in </w:t>
      </w:r>
      <w:r w:rsidR="00987B60" w:rsidRPr="00987B60">
        <w:rPr>
          <w:rFonts w:asciiTheme="minorHAnsi" w:hAnsiTheme="minorHAnsi" w:cstheme="minorHAnsi"/>
          <w:sz w:val="22"/>
          <w:szCs w:val="22"/>
        </w:rPr>
        <w:t>growth and body composition</w:t>
      </w:r>
      <w:r w:rsidR="005A7B04">
        <w:rPr>
          <w:rFonts w:asciiTheme="minorHAnsi" w:hAnsiTheme="minorHAnsi" w:cstheme="minorHAnsi"/>
          <w:sz w:val="22"/>
          <w:szCs w:val="22"/>
        </w:rPr>
        <w:t>. These hormones</w:t>
      </w:r>
      <w:r w:rsidR="00D13C88" w:rsidRPr="00834CD0">
        <w:rPr>
          <w:rFonts w:asciiTheme="minorHAnsi" w:hAnsiTheme="minorHAnsi" w:cstheme="minorHAnsi"/>
          <w:sz w:val="22"/>
          <w:szCs w:val="22"/>
        </w:rPr>
        <w:t xml:space="preserve"> </w:t>
      </w:r>
      <w:r w:rsidR="008A2F7D">
        <w:rPr>
          <w:rFonts w:asciiTheme="minorHAnsi" w:hAnsiTheme="minorHAnsi" w:cstheme="minorHAnsi"/>
          <w:sz w:val="22"/>
          <w:szCs w:val="22"/>
        </w:rPr>
        <w:t xml:space="preserve">have been shown </w:t>
      </w:r>
      <w:r w:rsidR="00F44A51">
        <w:rPr>
          <w:rFonts w:asciiTheme="minorHAnsi" w:hAnsiTheme="minorHAnsi" w:cstheme="minorHAnsi"/>
          <w:sz w:val="22"/>
          <w:szCs w:val="22"/>
        </w:rPr>
        <w:t xml:space="preserve">to </w:t>
      </w:r>
      <w:r w:rsidR="00F44A51" w:rsidRPr="0083502B">
        <w:rPr>
          <w:rFonts w:asciiTheme="minorHAnsi" w:hAnsiTheme="minorHAnsi" w:cstheme="minorHAnsi"/>
          <w:sz w:val="22"/>
          <w:szCs w:val="22"/>
        </w:rPr>
        <w:t>promote the growth of both benign and malignant thyroid cells,</w:t>
      </w:r>
      <w:r w:rsidR="00D028D5">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D028D5">
        <w:rPr>
          <w:rFonts w:asciiTheme="minorHAnsi" w:hAnsiTheme="minorHAnsi" w:cstheme="minorHAnsi"/>
          <w:sz w:val="22"/>
          <w:szCs w:val="22"/>
        </w:rPr>
      </w:r>
      <w:r w:rsidR="00D028D5">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10-12</w:t>
      </w:r>
      <w:r w:rsidR="00D028D5">
        <w:rPr>
          <w:rFonts w:asciiTheme="minorHAnsi" w:hAnsiTheme="minorHAnsi" w:cstheme="minorHAnsi"/>
          <w:sz w:val="22"/>
          <w:szCs w:val="22"/>
        </w:rPr>
        <w:fldChar w:fldCharType="end"/>
      </w:r>
      <w:r w:rsidR="00F44A51" w:rsidRPr="0083502B">
        <w:rPr>
          <w:rFonts w:asciiTheme="minorHAnsi" w:hAnsiTheme="minorHAnsi" w:cstheme="minorHAnsi"/>
          <w:sz w:val="22"/>
          <w:szCs w:val="22"/>
        </w:rPr>
        <w:t xml:space="preserve"> </w:t>
      </w:r>
      <w:r w:rsidR="00BB5921">
        <w:rPr>
          <w:rFonts w:asciiTheme="minorHAnsi" w:hAnsiTheme="minorHAnsi" w:cstheme="minorHAnsi"/>
          <w:sz w:val="22"/>
          <w:szCs w:val="22"/>
        </w:rPr>
        <w:t>with</w:t>
      </w:r>
      <w:r w:rsidR="00F44A51" w:rsidRPr="0083502B">
        <w:rPr>
          <w:rFonts w:asciiTheme="minorHAnsi" w:hAnsiTheme="minorHAnsi" w:cstheme="minorHAnsi"/>
          <w:sz w:val="22"/>
          <w:szCs w:val="22"/>
        </w:rPr>
        <w:t xml:space="preserve"> thyroid tumors</w:t>
      </w:r>
      <w:r w:rsidR="005F391D">
        <w:rPr>
          <w:rFonts w:asciiTheme="minorHAnsi" w:hAnsiTheme="minorHAnsi" w:cstheme="minorHAnsi"/>
          <w:sz w:val="22"/>
          <w:szCs w:val="22"/>
        </w:rPr>
        <w:t xml:space="preserve"> </w:t>
      </w:r>
      <w:r w:rsidR="009557DB">
        <w:rPr>
          <w:rFonts w:asciiTheme="minorHAnsi" w:hAnsiTheme="minorHAnsi" w:cstheme="minorHAnsi"/>
          <w:sz w:val="22"/>
          <w:szCs w:val="22"/>
        </w:rPr>
        <w:t xml:space="preserve">also </w:t>
      </w:r>
      <w:r w:rsidR="00F44A51" w:rsidRPr="0083502B">
        <w:rPr>
          <w:rFonts w:asciiTheme="minorHAnsi" w:hAnsiTheme="minorHAnsi" w:cstheme="minorHAnsi"/>
          <w:sz w:val="22"/>
          <w:szCs w:val="22"/>
        </w:rPr>
        <w:t xml:space="preserve">commonly </w:t>
      </w:r>
      <w:r w:rsidR="00C04B7A">
        <w:rPr>
          <w:rFonts w:asciiTheme="minorHAnsi" w:hAnsiTheme="minorHAnsi" w:cstheme="minorHAnsi"/>
          <w:sz w:val="22"/>
          <w:szCs w:val="22"/>
        </w:rPr>
        <w:t>over</w:t>
      </w:r>
      <w:r w:rsidR="00F44A51" w:rsidRPr="0083502B">
        <w:rPr>
          <w:rFonts w:asciiTheme="minorHAnsi" w:hAnsiTheme="minorHAnsi" w:cstheme="minorHAnsi"/>
          <w:sz w:val="22"/>
          <w:szCs w:val="22"/>
        </w:rPr>
        <w:t>express</w:t>
      </w:r>
      <w:r w:rsidR="00BB5921">
        <w:rPr>
          <w:rFonts w:asciiTheme="minorHAnsi" w:hAnsiTheme="minorHAnsi" w:cstheme="minorHAnsi"/>
          <w:sz w:val="22"/>
          <w:szCs w:val="22"/>
        </w:rPr>
        <w:t>ing</w:t>
      </w:r>
      <w:r w:rsidR="00F44A51" w:rsidRPr="0083502B">
        <w:rPr>
          <w:rFonts w:asciiTheme="minorHAnsi" w:hAnsiTheme="minorHAnsi" w:cstheme="minorHAnsi"/>
          <w:sz w:val="22"/>
          <w:szCs w:val="22"/>
        </w:rPr>
        <w:t xml:space="preserve"> estrogen</w:t>
      </w:r>
      <w:r w:rsidR="00DA478B">
        <w:rPr>
          <w:rFonts w:asciiTheme="minorHAnsi" w:hAnsiTheme="minorHAnsi" w:cstheme="minorHAnsi"/>
          <w:sz w:val="22"/>
          <w:szCs w:val="22"/>
        </w:rPr>
        <w:t>,</w:t>
      </w:r>
      <w:r w:rsidR="00976747">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76747">
        <w:rPr>
          <w:rFonts w:asciiTheme="minorHAnsi" w:hAnsiTheme="minorHAnsi" w:cstheme="minorHAnsi"/>
          <w:sz w:val="22"/>
          <w:szCs w:val="22"/>
        </w:rPr>
      </w:r>
      <w:r w:rsidR="00976747">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13</w:t>
      </w:r>
      <w:r w:rsidR="00976747">
        <w:rPr>
          <w:rFonts w:asciiTheme="minorHAnsi" w:hAnsiTheme="minorHAnsi" w:cstheme="minorHAnsi"/>
          <w:sz w:val="22"/>
          <w:szCs w:val="22"/>
        </w:rPr>
        <w:fldChar w:fldCharType="end"/>
      </w:r>
      <w:r w:rsidR="00DA478B">
        <w:rPr>
          <w:rFonts w:asciiTheme="minorHAnsi" w:hAnsiTheme="minorHAnsi" w:cstheme="minorHAnsi"/>
          <w:sz w:val="22"/>
          <w:szCs w:val="22"/>
        </w:rPr>
        <w:t xml:space="preserve"> and</w:t>
      </w:r>
      <w:r w:rsidR="00892D31">
        <w:rPr>
          <w:rFonts w:asciiTheme="minorHAnsi" w:hAnsiTheme="minorHAnsi" w:cstheme="minorHAnsi"/>
          <w:sz w:val="22"/>
          <w:szCs w:val="22"/>
        </w:rPr>
        <w:t xml:space="preserve"> </w:t>
      </w:r>
      <w:r w:rsidR="00DA478B" w:rsidRPr="00834CD0">
        <w:rPr>
          <w:rFonts w:asciiTheme="minorHAnsi" w:hAnsiTheme="minorHAnsi" w:cstheme="minorHAnsi"/>
          <w:sz w:val="22"/>
          <w:szCs w:val="22"/>
        </w:rPr>
        <w:t>insulin-like growth factor</w:t>
      </w:r>
      <w:r w:rsidR="00F44A51" w:rsidRPr="0083502B">
        <w:rPr>
          <w:rFonts w:asciiTheme="minorHAnsi" w:hAnsiTheme="minorHAnsi" w:cstheme="minorHAnsi"/>
          <w:sz w:val="22"/>
          <w:szCs w:val="22"/>
        </w:rPr>
        <w:t xml:space="preserve"> receptors</w:t>
      </w:r>
      <w:r w:rsidR="00133580">
        <w:rPr>
          <w:rFonts w:asciiTheme="minorHAnsi" w:hAnsiTheme="minorHAnsi" w:cstheme="minorHAnsi"/>
          <w:sz w:val="22"/>
          <w:szCs w:val="22"/>
        </w:rPr>
        <w:t>.</w:t>
      </w:r>
      <w:r w:rsidR="00CE67A6">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E67A6">
        <w:rPr>
          <w:rFonts w:asciiTheme="minorHAnsi" w:hAnsiTheme="minorHAnsi" w:cstheme="minorHAnsi"/>
          <w:sz w:val="22"/>
          <w:szCs w:val="22"/>
        </w:rPr>
      </w:r>
      <w:r w:rsidR="00CE67A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14</w:t>
      </w:r>
      <w:r w:rsidR="00CE67A6">
        <w:rPr>
          <w:rFonts w:asciiTheme="minorHAnsi" w:hAnsiTheme="minorHAnsi" w:cstheme="minorHAnsi"/>
          <w:sz w:val="22"/>
          <w:szCs w:val="22"/>
        </w:rPr>
        <w:fldChar w:fldCharType="end"/>
      </w:r>
      <w:r w:rsidR="00133580">
        <w:rPr>
          <w:rFonts w:asciiTheme="minorHAnsi" w:hAnsiTheme="minorHAnsi" w:cstheme="minorHAnsi"/>
          <w:sz w:val="22"/>
          <w:szCs w:val="22"/>
        </w:rPr>
        <w:t xml:space="preserve"> </w:t>
      </w:r>
      <w:r w:rsidR="00BB5921">
        <w:rPr>
          <w:rFonts w:asciiTheme="minorHAnsi" w:hAnsiTheme="minorHAnsi" w:cstheme="minorHAnsi"/>
          <w:sz w:val="22"/>
          <w:szCs w:val="22"/>
        </w:rPr>
        <w:t>B</w:t>
      </w:r>
      <w:r w:rsidR="00E83D33">
        <w:rPr>
          <w:rFonts w:asciiTheme="minorHAnsi" w:hAnsiTheme="minorHAnsi" w:cstheme="minorHAnsi"/>
          <w:sz w:val="22"/>
          <w:szCs w:val="22"/>
        </w:rPr>
        <w:t xml:space="preserve">ody size </w:t>
      </w:r>
      <w:r w:rsidR="0031034C">
        <w:rPr>
          <w:rFonts w:asciiTheme="minorHAnsi" w:hAnsiTheme="minorHAnsi" w:cstheme="minorHAnsi"/>
          <w:sz w:val="22"/>
          <w:szCs w:val="22"/>
        </w:rPr>
        <w:t xml:space="preserve">and </w:t>
      </w:r>
      <w:r w:rsidR="00E83D33">
        <w:rPr>
          <w:rFonts w:asciiTheme="minorHAnsi" w:hAnsiTheme="minorHAnsi" w:cstheme="minorHAnsi"/>
          <w:sz w:val="22"/>
          <w:szCs w:val="22"/>
        </w:rPr>
        <w:t>reproductive factors</w:t>
      </w:r>
      <w:r w:rsidR="00BB5921">
        <w:rPr>
          <w:rFonts w:asciiTheme="minorHAnsi" w:hAnsiTheme="minorHAnsi" w:cstheme="minorHAnsi"/>
          <w:sz w:val="22"/>
          <w:szCs w:val="22"/>
        </w:rPr>
        <w:t xml:space="preserve"> during </w:t>
      </w:r>
      <w:r w:rsidR="00544B9A">
        <w:rPr>
          <w:rFonts w:asciiTheme="minorHAnsi" w:hAnsiTheme="minorHAnsi" w:cstheme="minorHAnsi"/>
          <w:sz w:val="22"/>
          <w:szCs w:val="22"/>
        </w:rPr>
        <w:t>these developmental periods</w:t>
      </w:r>
      <w:r w:rsidR="00EF168E">
        <w:rPr>
          <w:rFonts w:asciiTheme="minorHAnsi" w:hAnsiTheme="minorHAnsi" w:cstheme="minorHAnsi"/>
          <w:sz w:val="22"/>
          <w:szCs w:val="22"/>
        </w:rPr>
        <w:t xml:space="preserve"> </w:t>
      </w:r>
      <w:r w:rsidR="00100172">
        <w:rPr>
          <w:rFonts w:asciiTheme="minorHAnsi" w:hAnsiTheme="minorHAnsi" w:cstheme="minorHAnsi"/>
          <w:sz w:val="22"/>
          <w:szCs w:val="22"/>
        </w:rPr>
        <w:t>may</w:t>
      </w:r>
      <w:r w:rsidR="00792523">
        <w:rPr>
          <w:rFonts w:asciiTheme="minorHAnsi" w:hAnsiTheme="minorHAnsi" w:cstheme="minorHAnsi"/>
          <w:sz w:val="22"/>
          <w:szCs w:val="22"/>
        </w:rPr>
        <w:t xml:space="preserve"> either represent or</w:t>
      </w:r>
      <w:r w:rsidR="00100172">
        <w:rPr>
          <w:rFonts w:asciiTheme="minorHAnsi" w:hAnsiTheme="minorHAnsi" w:cstheme="minorHAnsi"/>
          <w:sz w:val="22"/>
          <w:szCs w:val="22"/>
        </w:rPr>
        <w:t xml:space="preserve"> serve as</w:t>
      </w:r>
      <w:r w:rsidR="00E83D33">
        <w:rPr>
          <w:rFonts w:asciiTheme="minorHAnsi" w:hAnsiTheme="minorHAnsi" w:cstheme="minorHAnsi"/>
          <w:sz w:val="22"/>
          <w:szCs w:val="22"/>
        </w:rPr>
        <w:t xml:space="preserve"> proxies for </w:t>
      </w:r>
      <w:r w:rsidR="003839E9">
        <w:rPr>
          <w:rFonts w:asciiTheme="minorHAnsi" w:hAnsiTheme="minorHAnsi" w:cstheme="minorHAnsi"/>
          <w:sz w:val="22"/>
          <w:szCs w:val="22"/>
        </w:rPr>
        <w:t>these</w:t>
      </w:r>
      <w:r w:rsidR="002A5F6C">
        <w:rPr>
          <w:rFonts w:asciiTheme="minorHAnsi" w:hAnsiTheme="minorHAnsi" w:cstheme="minorHAnsi"/>
          <w:sz w:val="22"/>
          <w:szCs w:val="22"/>
        </w:rPr>
        <w:t xml:space="preserve"> early-life</w:t>
      </w:r>
      <w:r w:rsidR="003839E9">
        <w:rPr>
          <w:rFonts w:asciiTheme="minorHAnsi" w:hAnsiTheme="minorHAnsi" w:cstheme="minorHAnsi"/>
          <w:sz w:val="22"/>
          <w:szCs w:val="22"/>
        </w:rPr>
        <w:t xml:space="preserve"> </w:t>
      </w:r>
      <w:r w:rsidR="00E83D33">
        <w:rPr>
          <w:rFonts w:asciiTheme="minorHAnsi" w:hAnsiTheme="minorHAnsi" w:cstheme="minorHAnsi"/>
          <w:sz w:val="22"/>
          <w:szCs w:val="22"/>
        </w:rPr>
        <w:t xml:space="preserve">hormonal </w:t>
      </w:r>
      <w:r w:rsidR="00CA1FC4">
        <w:rPr>
          <w:rFonts w:asciiTheme="minorHAnsi" w:hAnsiTheme="minorHAnsi" w:cstheme="minorHAnsi"/>
          <w:sz w:val="22"/>
          <w:szCs w:val="22"/>
        </w:rPr>
        <w:t>exposures and</w:t>
      </w:r>
      <w:r w:rsidR="0093026C">
        <w:rPr>
          <w:rFonts w:asciiTheme="minorHAnsi" w:hAnsiTheme="minorHAnsi" w:cstheme="minorHAnsi"/>
          <w:sz w:val="22"/>
          <w:szCs w:val="22"/>
        </w:rPr>
        <w:t xml:space="preserve"> have been associated with </w:t>
      </w:r>
      <w:r w:rsidR="00016DEE">
        <w:rPr>
          <w:rFonts w:asciiTheme="minorHAnsi" w:hAnsiTheme="minorHAnsi" w:cstheme="minorHAnsi"/>
          <w:sz w:val="22"/>
          <w:szCs w:val="22"/>
        </w:rPr>
        <w:t>several female-predominant cancers</w:t>
      </w:r>
      <w:r w:rsidR="00E83D33">
        <w:rPr>
          <w:rFonts w:asciiTheme="minorHAnsi" w:hAnsiTheme="minorHAnsi" w:cstheme="minorHAnsi"/>
          <w:sz w:val="22"/>
          <w:szCs w:val="22"/>
        </w:rPr>
        <w:t>.</w:t>
      </w:r>
      <w:r w:rsidR="004502C8">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4502C8">
        <w:rPr>
          <w:rFonts w:asciiTheme="minorHAnsi" w:hAnsiTheme="minorHAnsi" w:cstheme="minorHAnsi"/>
          <w:sz w:val="22"/>
          <w:szCs w:val="22"/>
        </w:rPr>
      </w:r>
      <w:r w:rsidR="004502C8">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15-17</w:t>
      </w:r>
      <w:r w:rsidR="004502C8">
        <w:rPr>
          <w:rFonts w:asciiTheme="minorHAnsi" w:hAnsiTheme="minorHAnsi" w:cstheme="minorHAnsi"/>
          <w:sz w:val="22"/>
          <w:szCs w:val="22"/>
        </w:rPr>
        <w:fldChar w:fldCharType="end"/>
      </w:r>
    </w:p>
    <w:p w14:paraId="335A27DA" w14:textId="0203AEBD" w:rsidR="007947E5" w:rsidRPr="008C37FB" w:rsidRDefault="00B93C57" w:rsidP="00C12F6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However,</w:t>
      </w:r>
      <w:r w:rsidR="00E14D23">
        <w:rPr>
          <w:rFonts w:asciiTheme="minorHAnsi" w:hAnsiTheme="minorHAnsi" w:cstheme="minorHAnsi"/>
          <w:sz w:val="22"/>
          <w:szCs w:val="22"/>
        </w:rPr>
        <w:t xml:space="preserve"> </w:t>
      </w:r>
      <w:r w:rsidR="00750258">
        <w:rPr>
          <w:rFonts w:asciiTheme="minorHAnsi" w:hAnsiTheme="minorHAnsi" w:cstheme="minorHAnsi"/>
          <w:sz w:val="22"/>
          <w:szCs w:val="22"/>
        </w:rPr>
        <w:t xml:space="preserve">the </w:t>
      </w:r>
      <w:r w:rsidR="00544B9A">
        <w:rPr>
          <w:rFonts w:asciiTheme="minorHAnsi" w:hAnsiTheme="minorHAnsi" w:cstheme="minorHAnsi"/>
          <w:sz w:val="22"/>
          <w:szCs w:val="22"/>
        </w:rPr>
        <w:t>scarcity</w:t>
      </w:r>
      <w:r w:rsidR="00750258">
        <w:rPr>
          <w:rFonts w:asciiTheme="minorHAnsi" w:hAnsiTheme="minorHAnsi" w:cstheme="minorHAnsi"/>
          <w:sz w:val="22"/>
          <w:szCs w:val="22"/>
        </w:rPr>
        <w:t xml:space="preserve"> of longitudinal studies with data on both early-life factors and thyroid cancer incidence</w:t>
      </w:r>
      <w:r w:rsidR="00E96216">
        <w:rPr>
          <w:rFonts w:asciiTheme="minorHAnsi" w:hAnsiTheme="minorHAnsi" w:cstheme="minorHAnsi"/>
          <w:sz w:val="22"/>
          <w:szCs w:val="22"/>
        </w:rPr>
        <w:t xml:space="preserve"> makes it challenging to</w:t>
      </w:r>
      <w:r w:rsidR="00750258">
        <w:rPr>
          <w:rFonts w:asciiTheme="minorHAnsi" w:hAnsiTheme="minorHAnsi" w:cstheme="minorHAnsi"/>
          <w:sz w:val="22"/>
          <w:szCs w:val="22"/>
        </w:rPr>
        <w:t xml:space="preserve"> </w:t>
      </w:r>
      <w:r w:rsidR="00A57D9F">
        <w:rPr>
          <w:rFonts w:asciiTheme="minorHAnsi" w:hAnsiTheme="minorHAnsi" w:cstheme="minorHAnsi"/>
          <w:sz w:val="22"/>
          <w:szCs w:val="22"/>
        </w:rPr>
        <w:t>investigat</w:t>
      </w:r>
      <w:r w:rsidR="00E96216">
        <w:rPr>
          <w:rFonts w:asciiTheme="minorHAnsi" w:hAnsiTheme="minorHAnsi" w:cstheme="minorHAnsi"/>
          <w:sz w:val="22"/>
          <w:szCs w:val="22"/>
        </w:rPr>
        <w:t>e</w:t>
      </w:r>
      <w:r w:rsidR="00A57D9F">
        <w:rPr>
          <w:rFonts w:asciiTheme="minorHAnsi" w:hAnsiTheme="minorHAnsi" w:cstheme="minorHAnsi"/>
          <w:sz w:val="22"/>
          <w:szCs w:val="22"/>
        </w:rPr>
        <w:t xml:space="preserve"> the</w:t>
      </w:r>
      <w:r w:rsidR="00E96216">
        <w:rPr>
          <w:rFonts w:asciiTheme="minorHAnsi" w:hAnsiTheme="minorHAnsi" w:cstheme="minorHAnsi"/>
          <w:sz w:val="22"/>
          <w:szCs w:val="22"/>
        </w:rPr>
        <w:t>se</w:t>
      </w:r>
      <w:r w:rsidR="00A57D9F">
        <w:rPr>
          <w:rFonts w:asciiTheme="minorHAnsi" w:hAnsiTheme="minorHAnsi" w:cstheme="minorHAnsi"/>
          <w:sz w:val="22"/>
          <w:szCs w:val="22"/>
        </w:rPr>
        <w:t xml:space="preserve"> associations.</w:t>
      </w:r>
      <w:r w:rsidR="00E96216">
        <w:rPr>
          <w:rFonts w:asciiTheme="minorHAnsi" w:hAnsiTheme="minorHAnsi" w:cstheme="minorHAnsi"/>
          <w:sz w:val="22"/>
          <w:szCs w:val="22"/>
        </w:rPr>
        <w:t xml:space="preserve"> </w:t>
      </w:r>
      <w:r w:rsidR="006C4C04">
        <w:rPr>
          <w:rFonts w:asciiTheme="minorHAnsi" w:hAnsiTheme="minorHAnsi" w:cstheme="minorHAnsi"/>
          <w:sz w:val="22"/>
          <w:szCs w:val="22"/>
        </w:rPr>
        <w:t xml:space="preserve">To date, </w:t>
      </w:r>
      <w:r w:rsidR="00B82E16">
        <w:rPr>
          <w:rFonts w:asciiTheme="minorHAnsi" w:hAnsiTheme="minorHAnsi" w:cstheme="minorHAnsi"/>
          <w:sz w:val="22"/>
          <w:szCs w:val="22"/>
        </w:rPr>
        <w:t xml:space="preserve">the </w:t>
      </w:r>
      <w:r w:rsidR="00D62745">
        <w:rPr>
          <w:rFonts w:asciiTheme="minorHAnsi" w:hAnsiTheme="minorHAnsi" w:cstheme="minorHAnsi"/>
          <w:sz w:val="22"/>
          <w:szCs w:val="22"/>
        </w:rPr>
        <w:t>few</w:t>
      </w:r>
      <w:r w:rsidR="00E854BE">
        <w:rPr>
          <w:rFonts w:asciiTheme="minorHAnsi" w:hAnsiTheme="minorHAnsi" w:cstheme="minorHAnsi"/>
          <w:sz w:val="22"/>
          <w:szCs w:val="22"/>
        </w:rPr>
        <w:t xml:space="preserve"> longitudinal stud</w:t>
      </w:r>
      <w:r w:rsidR="005728F0">
        <w:rPr>
          <w:rFonts w:asciiTheme="minorHAnsi" w:hAnsiTheme="minorHAnsi" w:cstheme="minorHAnsi"/>
          <w:sz w:val="22"/>
          <w:szCs w:val="22"/>
        </w:rPr>
        <w:t>ies</w:t>
      </w:r>
      <w:r w:rsidR="00E854BE">
        <w:rPr>
          <w:rFonts w:asciiTheme="minorHAnsi" w:hAnsiTheme="minorHAnsi" w:cstheme="minorHAnsi"/>
          <w:sz w:val="22"/>
          <w:szCs w:val="22"/>
        </w:rPr>
        <w:t xml:space="preserve"> </w:t>
      </w:r>
      <w:r w:rsidR="006A221B">
        <w:rPr>
          <w:rFonts w:asciiTheme="minorHAnsi" w:hAnsiTheme="minorHAnsi" w:cstheme="minorHAnsi"/>
          <w:sz w:val="22"/>
          <w:szCs w:val="22"/>
        </w:rPr>
        <w:t>exami</w:t>
      </w:r>
      <w:r w:rsidR="00B82E16">
        <w:rPr>
          <w:rFonts w:asciiTheme="minorHAnsi" w:hAnsiTheme="minorHAnsi" w:cstheme="minorHAnsi"/>
          <w:sz w:val="22"/>
          <w:szCs w:val="22"/>
        </w:rPr>
        <w:t>ning</w:t>
      </w:r>
      <w:r w:rsidR="00E854BE">
        <w:rPr>
          <w:rFonts w:asciiTheme="minorHAnsi" w:hAnsiTheme="minorHAnsi" w:cstheme="minorHAnsi"/>
          <w:sz w:val="22"/>
          <w:szCs w:val="22"/>
        </w:rPr>
        <w:t xml:space="preserve"> </w:t>
      </w:r>
      <w:r w:rsidR="00713CB0">
        <w:rPr>
          <w:rFonts w:asciiTheme="minorHAnsi" w:hAnsiTheme="minorHAnsi" w:cstheme="minorHAnsi"/>
          <w:sz w:val="22"/>
          <w:szCs w:val="22"/>
        </w:rPr>
        <w:t>early-life</w:t>
      </w:r>
      <w:r w:rsidR="00E854BE">
        <w:rPr>
          <w:rFonts w:asciiTheme="minorHAnsi" w:hAnsiTheme="minorHAnsi" w:cstheme="minorHAnsi"/>
          <w:sz w:val="22"/>
          <w:szCs w:val="22"/>
        </w:rPr>
        <w:t xml:space="preserve"> body size and thyroid cancer incidence</w:t>
      </w:r>
      <w:r w:rsidR="00761C61" w:rsidRPr="00761C61">
        <w:rPr>
          <w:rFonts w:asciiTheme="minorHAnsi" w:hAnsiTheme="minorHAnsi" w:cstheme="minorHAnsi"/>
          <w:sz w:val="22"/>
          <w:szCs w:val="22"/>
        </w:rPr>
        <w:t xml:space="preserve"> </w:t>
      </w:r>
      <w:r w:rsidR="00761C61">
        <w:rPr>
          <w:rFonts w:asciiTheme="minorHAnsi" w:hAnsiTheme="minorHAnsi" w:cstheme="minorHAnsi"/>
          <w:sz w:val="22"/>
          <w:szCs w:val="22"/>
        </w:rPr>
        <w:t>have suggested</w:t>
      </w:r>
      <w:r w:rsidR="00761C61" w:rsidRPr="00834CD0">
        <w:rPr>
          <w:rFonts w:asciiTheme="minorHAnsi" w:hAnsiTheme="minorHAnsi" w:cstheme="minorHAnsi"/>
          <w:sz w:val="22"/>
          <w:szCs w:val="22"/>
        </w:rPr>
        <w:t xml:space="preserve"> positive association</w:t>
      </w:r>
      <w:r w:rsidR="00761C61">
        <w:rPr>
          <w:rFonts w:asciiTheme="minorHAnsi" w:hAnsiTheme="minorHAnsi" w:cstheme="minorHAnsi"/>
          <w:sz w:val="22"/>
          <w:szCs w:val="22"/>
        </w:rPr>
        <w:t>s for childhood and adolescent height and body mass index (BMI),</w:t>
      </w:r>
      <w:r w:rsidR="00383CF6">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3CF6">
        <w:rPr>
          <w:rFonts w:asciiTheme="minorHAnsi" w:hAnsiTheme="minorHAnsi" w:cstheme="minorHAnsi"/>
          <w:sz w:val="22"/>
          <w:szCs w:val="22"/>
        </w:rPr>
      </w:r>
      <w:r w:rsidR="00383CF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18-21</w:t>
      </w:r>
      <w:r w:rsidR="00383CF6">
        <w:rPr>
          <w:rFonts w:asciiTheme="minorHAnsi" w:hAnsiTheme="minorHAnsi" w:cstheme="minorHAnsi"/>
          <w:sz w:val="22"/>
          <w:szCs w:val="22"/>
        </w:rPr>
        <w:fldChar w:fldCharType="end"/>
      </w:r>
      <w:r w:rsidR="00125E55">
        <w:rPr>
          <w:rFonts w:asciiTheme="minorHAnsi" w:hAnsiTheme="minorHAnsi" w:cstheme="minorHAnsi"/>
          <w:sz w:val="22"/>
          <w:szCs w:val="22"/>
        </w:rPr>
        <w:t xml:space="preserve"> </w:t>
      </w:r>
      <w:r w:rsidR="00633C3F">
        <w:rPr>
          <w:rFonts w:asciiTheme="minorHAnsi" w:hAnsiTheme="minorHAnsi" w:cstheme="minorHAnsi"/>
          <w:sz w:val="22"/>
          <w:szCs w:val="22"/>
        </w:rPr>
        <w:t xml:space="preserve">but most of them did not account for </w:t>
      </w:r>
      <w:r w:rsidR="004843B4">
        <w:rPr>
          <w:rFonts w:asciiTheme="minorHAnsi" w:hAnsiTheme="minorHAnsi" w:cstheme="minorHAnsi"/>
          <w:sz w:val="22"/>
          <w:szCs w:val="22"/>
        </w:rPr>
        <w:t>adult</w:t>
      </w:r>
      <w:r w:rsidR="00633C3F">
        <w:rPr>
          <w:rFonts w:asciiTheme="minorHAnsi" w:hAnsiTheme="minorHAnsi" w:cstheme="minorHAnsi"/>
          <w:sz w:val="22"/>
          <w:szCs w:val="22"/>
        </w:rPr>
        <w:t xml:space="preserve"> </w:t>
      </w:r>
      <w:r w:rsidR="00A0211C">
        <w:rPr>
          <w:rFonts w:asciiTheme="minorHAnsi" w:hAnsiTheme="minorHAnsi" w:cstheme="minorHAnsi"/>
          <w:sz w:val="22"/>
          <w:szCs w:val="22"/>
        </w:rPr>
        <w:t>obesity</w:t>
      </w:r>
      <w:r w:rsidR="00DA4DC9">
        <w:rPr>
          <w:rFonts w:asciiTheme="minorHAnsi" w:hAnsiTheme="minorHAnsi" w:cstheme="minorHAnsi"/>
          <w:sz w:val="22"/>
          <w:szCs w:val="22"/>
        </w:rPr>
        <w:t xml:space="preserve"> at diagnosis</w:t>
      </w:r>
      <w:r w:rsidR="00763803">
        <w:rPr>
          <w:rFonts w:asciiTheme="minorHAnsi" w:hAnsiTheme="minorHAnsi" w:cstheme="minorHAnsi"/>
          <w:sz w:val="22"/>
          <w:szCs w:val="22"/>
        </w:rPr>
        <w:t>.</w:t>
      </w:r>
      <w:r w:rsidR="0088689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8689E">
        <w:rPr>
          <w:rFonts w:asciiTheme="minorHAnsi" w:hAnsiTheme="minorHAnsi" w:cstheme="minorHAnsi"/>
          <w:sz w:val="22"/>
          <w:szCs w:val="22"/>
        </w:rPr>
      </w:r>
      <w:r w:rsidR="0088689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88689E">
        <w:rPr>
          <w:rFonts w:asciiTheme="minorHAnsi" w:hAnsiTheme="minorHAnsi" w:cstheme="minorHAnsi"/>
          <w:sz w:val="22"/>
          <w:szCs w:val="22"/>
        </w:rPr>
        <w:fldChar w:fldCharType="end"/>
      </w:r>
      <w:r w:rsidR="00BC642C">
        <w:rPr>
          <w:rFonts w:asciiTheme="minorHAnsi" w:hAnsiTheme="minorHAnsi" w:cstheme="minorHAnsi"/>
          <w:sz w:val="22"/>
          <w:szCs w:val="22"/>
        </w:rPr>
        <w:t xml:space="preserve"> </w:t>
      </w:r>
      <w:r w:rsidR="003F5D3D">
        <w:rPr>
          <w:rFonts w:asciiTheme="minorHAnsi" w:hAnsiTheme="minorHAnsi" w:cstheme="minorHAnsi"/>
          <w:sz w:val="22"/>
          <w:szCs w:val="22"/>
        </w:rPr>
        <w:t>E</w:t>
      </w:r>
      <w:r w:rsidR="00427071">
        <w:rPr>
          <w:rFonts w:asciiTheme="minorHAnsi" w:hAnsiTheme="minorHAnsi" w:cstheme="minorHAnsi"/>
          <w:sz w:val="22"/>
          <w:szCs w:val="22"/>
        </w:rPr>
        <w:t>vidence</w:t>
      </w:r>
      <w:r w:rsidR="009B61C3">
        <w:rPr>
          <w:rFonts w:asciiTheme="minorHAnsi" w:hAnsiTheme="minorHAnsi" w:cstheme="minorHAnsi"/>
          <w:sz w:val="22"/>
          <w:szCs w:val="22"/>
        </w:rPr>
        <w:t xml:space="preserve"> on</w:t>
      </w:r>
      <w:r w:rsidR="0083679B">
        <w:rPr>
          <w:rFonts w:asciiTheme="minorHAnsi" w:hAnsiTheme="minorHAnsi" w:cstheme="minorHAnsi"/>
          <w:sz w:val="22"/>
          <w:szCs w:val="22"/>
        </w:rPr>
        <w:t xml:space="preserve"> early-life</w:t>
      </w:r>
      <w:r w:rsidR="009B61C3">
        <w:rPr>
          <w:rFonts w:asciiTheme="minorHAnsi" w:hAnsiTheme="minorHAnsi" w:cstheme="minorHAnsi"/>
          <w:sz w:val="22"/>
          <w:szCs w:val="22"/>
        </w:rPr>
        <w:t xml:space="preserve"> reproductive factors</w:t>
      </w:r>
      <w:r w:rsidR="00427071">
        <w:rPr>
          <w:rFonts w:asciiTheme="minorHAnsi" w:hAnsiTheme="minorHAnsi" w:cstheme="minorHAnsi"/>
          <w:sz w:val="22"/>
          <w:szCs w:val="22"/>
        </w:rPr>
        <w:t xml:space="preserve"> </w:t>
      </w:r>
      <w:r w:rsidR="00E50FDE">
        <w:rPr>
          <w:rFonts w:asciiTheme="minorHAnsi" w:hAnsiTheme="minorHAnsi" w:cstheme="minorHAnsi"/>
          <w:sz w:val="22"/>
          <w:szCs w:val="22"/>
        </w:rPr>
        <w:t xml:space="preserve">is </w:t>
      </w:r>
      <w:r w:rsidR="003F5D3D">
        <w:rPr>
          <w:rFonts w:asciiTheme="minorHAnsi" w:hAnsiTheme="minorHAnsi" w:cstheme="minorHAnsi"/>
          <w:sz w:val="22"/>
          <w:szCs w:val="22"/>
        </w:rPr>
        <w:t xml:space="preserve">mostly </w:t>
      </w:r>
      <w:r w:rsidR="00E50FDE">
        <w:rPr>
          <w:rFonts w:asciiTheme="minorHAnsi" w:hAnsiTheme="minorHAnsi" w:cstheme="minorHAnsi"/>
          <w:sz w:val="22"/>
          <w:szCs w:val="22"/>
        </w:rPr>
        <w:t>limited to</w:t>
      </w:r>
      <w:r w:rsidR="003F5D3D">
        <w:rPr>
          <w:rFonts w:asciiTheme="minorHAnsi" w:hAnsiTheme="minorHAnsi" w:cstheme="minorHAnsi"/>
          <w:sz w:val="22"/>
          <w:szCs w:val="22"/>
        </w:rPr>
        <w:t xml:space="preserve"> age at menarche</w:t>
      </w:r>
      <w:r w:rsidR="006626B7">
        <w:rPr>
          <w:rFonts w:asciiTheme="minorHAnsi" w:hAnsiTheme="minorHAnsi" w:cstheme="minorHAnsi"/>
          <w:sz w:val="22"/>
          <w:szCs w:val="22"/>
        </w:rPr>
        <w:t>, with inconsistent results</w:t>
      </w:r>
      <w:r w:rsidR="005728F0">
        <w:rPr>
          <w:rFonts w:asciiTheme="minorHAnsi" w:hAnsiTheme="minorHAnsi" w:cstheme="minorHAnsi"/>
          <w:sz w:val="22"/>
          <w:szCs w:val="22"/>
        </w:rPr>
        <w:t>,</w:t>
      </w:r>
      <w:r w:rsidR="00E363AF">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E363AF">
        <w:rPr>
          <w:rFonts w:asciiTheme="minorHAnsi" w:hAnsiTheme="minorHAnsi" w:cstheme="minorHAnsi"/>
          <w:sz w:val="22"/>
          <w:szCs w:val="22"/>
        </w:rPr>
      </w:r>
      <w:r w:rsidR="00E363A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E363AF">
        <w:rPr>
          <w:rFonts w:asciiTheme="minorHAnsi" w:hAnsiTheme="minorHAnsi" w:cstheme="minorHAnsi"/>
          <w:sz w:val="22"/>
          <w:szCs w:val="22"/>
        </w:rPr>
        <w:fldChar w:fldCharType="end"/>
      </w:r>
      <w:r w:rsidR="00C52227">
        <w:rPr>
          <w:rFonts w:asciiTheme="minorHAnsi" w:hAnsiTheme="minorHAnsi" w:cstheme="minorHAnsi"/>
          <w:sz w:val="22"/>
          <w:szCs w:val="22"/>
        </w:rPr>
        <w:t xml:space="preserve"> while</w:t>
      </w:r>
      <w:r w:rsidR="0027591D">
        <w:rPr>
          <w:rFonts w:asciiTheme="minorHAnsi" w:hAnsiTheme="minorHAnsi" w:cstheme="minorHAnsi"/>
          <w:sz w:val="22"/>
          <w:szCs w:val="22"/>
        </w:rPr>
        <w:t xml:space="preserve"> data on other factors</w:t>
      </w:r>
      <w:r w:rsidR="00EF168E">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EF168E">
        <w:rPr>
          <w:rFonts w:asciiTheme="minorHAnsi" w:hAnsiTheme="minorHAnsi" w:cstheme="minorHAnsi"/>
          <w:sz w:val="22"/>
          <w:szCs w:val="22"/>
        </w:rPr>
        <w:t xml:space="preserve">such as </w:t>
      </w:r>
      <w:r w:rsidR="00EF168E" w:rsidRPr="00EA35F1">
        <w:rPr>
          <w:rFonts w:asciiTheme="minorHAnsi" w:hAnsiTheme="minorHAnsi" w:cstheme="minorHAnsi"/>
          <w:sz w:val="22"/>
          <w:szCs w:val="22"/>
        </w:rPr>
        <w:t>age at breast development</w:t>
      </w:r>
      <w:r w:rsidR="00DE5B9D">
        <w:rPr>
          <w:rFonts w:asciiTheme="minorHAnsi" w:hAnsiTheme="minorHAnsi" w:cstheme="minorHAnsi"/>
          <w:sz w:val="22"/>
          <w:szCs w:val="22"/>
        </w:rPr>
        <w:t xml:space="preserve"> and</w:t>
      </w:r>
      <w:r w:rsidR="00EF168E" w:rsidRPr="00EA35F1">
        <w:rPr>
          <w:rFonts w:asciiTheme="minorHAnsi" w:hAnsiTheme="minorHAnsi" w:cstheme="minorHAnsi"/>
          <w:sz w:val="22"/>
          <w:szCs w:val="22"/>
        </w:rPr>
        <w:t xml:space="preserve"> </w:t>
      </w:r>
      <w:r w:rsidR="00EF168E">
        <w:rPr>
          <w:rFonts w:asciiTheme="minorHAnsi" w:hAnsiTheme="minorHAnsi" w:cstheme="minorHAnsi"/>
          <w:sz w:val="22"/>
          <w:szCs w:val="22"/>
        </w:rPr>
        <w:t>s</w:t>
      </w:r>
      <w:r w:rsidR="00EF168E" w:rsidRPr="00ED6318">
        <w:rPr>
          <w:rFonts w:asciiTheme="minorHAnsi" w:hAnsiTheme="minorHAnsi" w:cstheme="minorHAnsi"/>
          <w:sz w:val="22"/>
          <w:szCs w:val="22"/>
        </w:rPr>
        <w:t>tart age for hormonal birth control</w:t>
      </w:r>
      <w:r w:rsidR="00EF168E">
        <w:rPr>
          <w:rFonts w:asciiTheme="minorHAnsi" w:hAnsiTheme="minorHAnsi" w:cstheme="minorHAnsi"/>
          <w:sz w:val="22"/>
          <w:szCs w:val="22"/>
        </w:rPr>
        <w:t xml:space="preserve">, </w:t>
      </w:r>
      <w:r w:rsidR="005728F0">
        <w:rPr>
          <w:rFonts w:asciiTheme="minorHAnsi" w:hAnsiTheme="minorHAnsi" w:cstheme="minorHAnsi"/>
          <w:sz w:val="22"/>
          <w:szCs w:val="22"/>
        </w:rPr>
        <w:t xml:space="preserve">are </w:t>
      </w:r>
      <w:r w:rsidR="00F2415A">
        <w:rPr>
          <w:rFonts w:asciiTheme="minorHAnsi" w:hAnsiTheme="minorHAnsi" w:cstheme="minorHAnsi"/>
          <w:sz w:val="22"/>
          <w:szCs w:val="22"/>
        </w:rPr>
        <w:t>scarce</w:t>
      </w:r>
      <w:r w:rsidR="0027591D">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443162">
        <w:rPr>
          <w:rFonts w:asciiTheme="minorHAnsi" w:hAnsiTheme="minorHAnsi" w:cstheme="minorHAnsi"/>
          <w:sz w:val="22"/>
          <w:szCs w:val="22"/>
        </w:rPr>
        <w:t>Additionally</w:t>
      </w:r>
      <w:r w:rsidR="002B66F2">
        <w:rPr>
          <w:rFonts w:asciiTheme="minorHAnsi" w:hAnsiTheme="minorHAnsi" w:cstheme="minorHAnsi"/>
          <w:sz w:val="22"/>
          <w:szCs w:val="22"/>
        </w:rPr>
        <w:t xml:space="preserve">, </w:t>
      </w:r>
      <w:r w:rsidR="00143EB3">
        <w:rPr>
          <w:rFonts w:asciiTheme="minorHAnsi" w:hAnsiTheme="minorHAnsi" w:cstheme="minorHAnsi"/>
          <w:sz w:val="22"/>
          <w:szCs w:val="22"/>
        </w:rPr>
        <w:t>lifestyle</w:t>
      </w:r>
      <w:r w:rsidR="00E7720E">
        <w:rPr>
          <w:rFonts w:asciiTheme="minorHAnsi" w:hAnsiTheme="minorHAnsi" w:cstheme="minorHAnsi"/>
          <w:sz w:val="22"/>
          <w:szCs w:val="22"/>
        </w:rPr>
        <w:t xml:space="preserve"> (e.g., smoking)</w:t>
      </w:r>
      <w:r w:rsidR="00143EB3">
        <w:rPr>
          <w:rFonts w:asciiTheme="minorHAnsi" w:hAnsiTheme="minorHAnsi" w:cstheme="minorHAnsi"/>
          <w:sz w:val="22"/>
          <w:szCs w:val="22"/>
        </w:rPr>
        <w:t xml:space="preserve"> and</w:t>
      </w:r>
      <w:r w:rsidR="00E00033">
        <w:rPr>
          <w:rFonts w:asciiTheme="minorHAnsi" w:hAnsiTheme="minorHAnsi" w:cstheme="minorHAnsi"/>
          <w:sz w:val="22"/>
          <w:szCs w:val="22"/>
        </w:rPr>
        <w:t xml:space="preserve"> </w:t>
      </w:r>
      <w:r w:rsidR="007947E5" w:rsidRPr="008C37FB">
        <w:rPr>
          <w:rFonts w:asciiTheme="minorHAnsi" w:hAnsiTheme="minorHAnsi" w:cstheme="minorHAnsi"/>
          <w:sz w:val="22"/>
          <w:szCs w:val="22"/>
        </w:rPr>
        <w:t xml:space="preserve">socioeconomic </w:t>
      </w:r>
      <w:r w:rsidR="00FA6D0A">
        <w:rPr>
          <w:rFonts w:asciiTheme="minorHAnsi" w:hAnsiTheme="minorHAnsi" w:cstheme="minorHAnsi"/>
          <w:sz w:val="22"/>
          <w:szCs w:val="22"/>
        </w:rPr>
        <w:t>factors</w:t>
      </w:r>
      <w:r w:rsidR="00592A9C">
        <w:rPr>
          <w:rFonts w:asciiTheme="minorHAnsi" w:hAnsiTheme="minorHAnsi" w:cstheme="minorHAnsi"/>
          <w:sz w:val="22"/>
          <w:szCs w:val="22"/>
        </w:rPr>
        <w:t xml:space="preserve"> </w:t>
      </w:r>
      <w:r w:rsidR="006F433B">
        <w:rPr>
          <w:rFonts w:asciiTheme="minorHAnsi" w:hAnsiTheme="minorHAnsi" w:cstheme="minorHAnsi"/>
          <w:sz w:val="22"/>
          <w:szCs w:val="22"/>
        </w:rPr>
        <w:t xml:space="preserve">known to </w:t>
      </w:r>
      <w:r w:rsidR="00DB0899">
        <w:rPr>
          <w:rFonts w:asciiTheme="minorHAnsi" w:hAnsiTheme="minorHAnsi" w:cstheme="minorHAnsi"/>
          <w:sz w:val="22"/>
          <w:szCs w:val="22"/>
        </w:rPr>
        <w:t xml:space="preserve">influence </w:t>
      </w:r>
      <w:r w:rsidR="00F933F9">
        <w:rPr>
          <w:rFonts w:asciiTheme="minorHAnsi" w:hAnsiTheme="minorHAnsi" w:cstheme="minorHAnsi"/>
          <w:sz w:val="22"/>
          <w:szCs w:val="22"/>
        </w:rPr>
        <w:t>hormone levels</w:t>
      </w:r>
      <w:r w:rsidR="00D12317">
        <w:rPr>
          <w:rFonts w:asciiTheme="minorHAnsi" w:hAnsiTheme="minorHAnsi" w:cstheme="minorHAnsi"/>
          <w:sz w:val="22"/>
          <w:szCs w:val="22"/>
        </w:rPr>
        <w:t xml:space="preserve"> </w:t>
      </w:r>
      <w:r w:rsidR="00C96508">
        <w:rPr>
          <w:rFonts w:asciiTheme="minorHAnsi" w:hAnsiTheme="minorHAnsi" w:cstheme="minorHAnsi"/>
          <w:sz w:val="22"/>
          <w:szCs w:val="22"/>
        </w:rPr>
        <w:t xml:space="preserve">either </w:t>
      </w:r>
      <w:r w:rsidR="004A0750">
        <w:rPr>
          <w:rFonts w:asciiTheme="minorHAnsi" w:hAnsiTheme="minorHAnsi" w:cstheme="minorHAnsi"/>
          <w:sz w:val="22"/>
          <w:szCs w:val="22"/>
        </w:rPr>
        <w:t>directly</w:t>
      </w:r>
      <w:r w:rsidR="00D12317">
        <w:rPr>
          <w:rFonts w:asciiTheme="minorHAnsi" w:hAnsiTheme="minorHAnsi" w:cstheme="minorHAnsi"/>
          <w:sz w:val="22"/>
          <w:szCs w:val="22"/>
        </w:rPr>
        <w:t xml:space="preserve"> </w:t>
      </w:r>
      <w:r w:rsidR="0027517A">
        <w:rPr>
          <w:rFonts w:asciiTheme="minorHAnsi" w:hAnsiTheme="minorHAnsi" w:cstheme="minorHAnsi"/>
          <w:sz w:val="22"/>
          <w:szCs w:val="22"/>
        </w:rPr>
        <w:t>or</w:t>
      </w:r>
      <w:r w:rsidR="004A0750">
        <w:rPr>
          <w:rFonts w:asciiTheme="minorHAnsi" w:hAnsiTheme="minorHAnsi" w:cstheme="minorHAnsi"/>
          <w:sz w:val="22"/>
          <w:szCs w:val="22"/>
        </w:rPr>
        <w:t xml:space="preserve"> by</w:t>
      </w:r>
      <w:r w:rsidR="0027517A">
        <w:rPr>
          <w:rFonts w:asciiTheme="minorHAnsi" w:hAnsiTheme="minorHAnsi" w:cstheme="minorHAnsi"/>
          <w:sz w:val="22"/>
          <w:szCs w:val="22"/>
        </w:rPr>
        <w:t xml:space="preserve"> increasing exposure to endocrine disruptors,</w:t>
      </w:r>
      <w:r w:rsidR="00653DAC">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53DAC">
        <w:rPr>
          <w:rFonts w:asciiTheme="minorHAnsi" w:hAnsiTheme="minorHAnsi" w:cstheme="minorHAnsi"/>
          <w:sz w:val="22"/>
          <w:szCs w:val="22"/>
        </w:rPr>
      </w:r>
      <w:r w:rsidR="00653DA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26,27</w:t>
      </w:r>
      <w:r w:rsidR="00653DAC">
        <w:rPr>
          <w:rFonts w:asciiTheme="minorHAnsi" w:hAnsiTheme="minorHAnsi" w:cstheme="minorHAnsi"/>
          <w:sz w:val="22"/>
          <w:szCs w:val="22"/>
        </w:rPr>
        <w:fldChar w:fldCharType="end"/>
      </w:r>
      <w:r w:rsidR="006F433B">
        <w:rPr>
          <w:rFonts w:asciiTheme="minorHAnsi" w:hAnsiTheme="minorHAnsi" w:cstheme="minorHAnsi"/>
          <w:sz w:val="22"/>
          <w:szCs w:val="22"/>
        </w:rPr>
        <w:t xml:space="preserve"> </w:t>
      </w:r>
      <w:r w:rsidR="00D12317">
        <w:rPr>
          <w:rFonts w:asciiTheme="minorHAnsi" w:hAnsiTheme="minorHAnsi" w:cstheme="minorHAnsi"/>
          <w:sz w:val="22"/>
          <w:szCs w:val="22"/>
        </w:rPr>
        <w:t>could also</w:t>
      </w:r>
      <w:r w:rsidR="007401C6">
        <w:rPr>
          <w:rFonts w:asciiTheme="minorHAnsi" w:hAnsiTheme="minorHAnsi" w:cstheme="minorHAnsi"/>
          <w:sz w:val="22"/>
          <w:szCs w:val="22"/>
        </w:rPr>
        <w:t xml:space="preserve"> </w:t>
      </w:r>
      <w:r w:rsidR="00143EB3">
        <w:rPr>
          <w:rFonts w:asciiTheme="minorHAnsi" w:hAnsiTheme="minorHAnsi" w:cstheme="minorHAnsi"/>
          <w:sz w:val="22"/>
          <w:szCs w:val="22"/>
        </w:rPr>
        <w:t xml:space="preserve">contribute to </w:t>
      </w:r>
      <w:r w:rsidR="007401C6">
        <w:rPr>
          <w:rFonts w:asciiTheme="minorHAnsi" w:hAnsiTheme="minorHAnsi" w:cstheme="minorHAnsi"/>
          <w:sz w:val="22"/>
          <w:szCs w:val="22"/>
        </w:rPr>
        <w:t xml:space="preserve">thyroid cancer </w:t>
      </w:r>
      <w:r w:rsidR="00AB6D8D">
        <w:rPr>
          <w:rFonts w:asciiTheme="minorHAnsi" w:hAnsiTheme="minorHAnsi" w:cstheme="minorHAnsi"/>
          <w:sz w:val="22"/>
          <w:szCs w:val="22"/>
        </w:rPr>
        <w:t>development</w:t>
      </w:r>
      <w:r w:rsidR="007947E5" w:rsidRPr="008C37FB">
        <w:rPr>
          <w:rFonts w:asciiTheme="minorHAnsi" w:hAnsiTheme="minorHAnsi" w:cstheme="minorHAnsi"/>
          <w:sz w:val="22"/>
          <w:szCs w:val="22"/>
        </w:rPr>
        <w:t>.</w:t>
      </w:r>
      <w:r w:rsidR="00F53D1E">
        <w:rPr>
          <w:rFonts w:asciiTheme="minorHAnsi" w:hAnsiTheme="minorHAnsi" w:cstheme="minorHAnsi"/>
          <w:sz w:val="22"/>
          <w:szCs w:val="22"/>
        </w:rPr>
        <w:t xml:space="preserve"> </w:t>
      </w:r>
    </w:p>
    <w:p w14:paraId="62E6C055" w14:textId="79278E58" w:rsidR="00CC4A6A" w:rsidRDefault="002E3CC2" w:rsidP="00761263">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We</w:t>
      </w:r>
      <w:r w:rsidR="007947E5" w:rsidRPr="008C37FB">
        <w:rPr>
          <w:rFonts w:asciiTheme="minorHAnsi" w:hAnsiTheme="minorHAnsi" w:cstheme="minorHAnsi"/>
          <w:sz w:val="22"/>
          <w:szCs w:val="22"/>
        </w:rPr>
        <w:t xml:space="preserve"> aim</w:t>
      </w:r>
      <w:r w:rsidR="00F710DF">
        <w:rPr>
          <w:rFonts w:asciiTheme="minorHAnsi" w:hAnsiTheme="minorHAnsi" w:cstheme="minorHAnsi"/>
          <w:sz w:val="22"/>
          <w:szCs w:val="22"/>
        </w:rPr>
        <w:t>ed</w:t>
      </w:r>
      <w:r w:rsidR="007947E5" w:rsidRPr="008C37FB">
        <w:rPr>
          <w:rFonts w:asciiTheme="minorHAnsi" w:hAnsiTheme="minorHAnsi" w:cstheme="minorHAnsi"/>
          <w:sz w:val="22"/>
          <w:szCs w:val="22"/>
        </w:rPr>
        <w:t xml:space="preserve"> to investigate the associations of </w:t>
      </w:r>
      <w:r w:rsidR="004626CA">
        <w:rPr>
          <w:rFonts w:asciiTheme="minorHAnsi" w:hAnsiTheme="minorHAnsi" w:cstheme="minorHAnsi"/>
          <w:sz w:val="22"/>
          <w:szCs w:val="22"/>
        </w:rPr>
        <w:t>anthropometric</w:t>
      </w:r>
      <w:r w:rsidR="007947E5" w:rsidRPr="008C37FB">
        <w:rPr>
          <w:rFonts w:asciiTheme="minorHAnsi" w:hAnsiTheme="minorHAnsi" w:cstheme="minorHAnsi"/>
          <w:sz w:val="22"/>
          <w:szCs w:val="22"/>
        </w:rPr>
        <w:t xml:space="preserve">, reproductive, lifestyle, and socioeconomic factors </w:t>
      </w:r>
      <w:r w:rsidR="008839E8">
        <w:rPr>
          <w:rFonts w:asciiTheme="minorHAnsi" w:hAnsiTheme="minorHAnsi" w:cstheme="minorHAnsi"/>
          <w:sz w:val="22"/>
          <w:szCs w:val="22"/>
        </w:rPr>
        <w:t xml:space="preserve">experienced during childhood and adolescence </w:t>
      </w:r>
      <w:r w:rsidR="00A67B51" w:rsidRPr="008C37FB">
        <w:rPr>
          <w:rFonts w:asciiTheme="minorHAnsi" w:hAnsiTheme="minorHAnsi" w:cstheme="minorHAnsi"/>
          <w:sz w:val="22"/>
          <w:szCs w:val="22"/>
        </w:rPr>
        <w:t>and</w:t>
      </w:r>
      <w:r w:rsidR="007947E5" w:rsidRPr="008C37FB">
        <w:rPr>
          <w:rFonts w:asciiTheme="minorHAnsi" w:hAnsiTheme="minorHAnsi" w:cstheme="minorHAnsi"/>
          <w:sz w:val="22"/>
          <w:szCs w:val="22"/>
        </w:rPr>
        <w:t xml:space="preserve"> thyroid cancer incidence using data from</w:t>
      </w:r>
      <w:r w:rsidR="001D22D3">
        <w:rPr>
          <w:rFonts w:asciiTheme="minorHAnsi" w:hAnsiTheme="minorHAnsi" w:cstheme="minorHAnsi"/>
          <w:sz w:val="22"/>
          <w:szCs w:val="22"/>
        </w:rPr>
        <w:t xml:space="preserve"> </w:t>
      </w:r>
      <w:r w:rsidR="007947E5" w:rsidRPr="008C37FB">
        <w:rPr>
          <w:rFonts w:asciiTheme="minorHAnsi" w:hAnsiTheme="minorHAnsi" w:cstheme="minorHAnsi"/>
          <w:sz w:val="22"/>
          <w:szCs w:val="22"/>
        </w:rPr>
        <w:t>the</w:t>
      </w:r>
      <w:r w:rsidR="001D22D3">
        <w:rPr>
          <w:rFonts w:asciiTheme="minorHAnsi" w:hAnsiTheme="minorHAnsi" w:cstheme="minorHAnsi"/>
          <w:sz w:val="22"/>
          <w:szCs w:val="22"/>
        </w:rPr>
        <w:t xml:space="preserve"> </w:t>
      </w:r>
      <w:r w:rsidR="001D22D3" w:rsidRPr="008C37FB">
        <w:rPr>
          <w:rFonts w:asciiTheme="minorHAnsi" w:hAnsiTheme="minorHAnsi" w:cstheme="minorHAnsi"/>
          <w:sz w:val="22"/>
          <w:szCs w:val="22"/>
        </w:rPr>
        <w:t xml:space="preserve">large </w:t>
      </w:r>
      <w:r w:rsidR="001D22D3">
        <w:rPr>
          <w:rFonts w:asciiTheme="minorHAnsi" w:hAnsiTheme="minorHAnsi" w:cstheme="minorHAnsi"/>
          <w:sz w:val="22"/>
          <w:szCs w:val="22"/>
        </w:rPr>
        <w:t xml:space="preserve">U.S. </w:t>
      </w:r>
      <w:r w:rsidR="001D22D3" w:rsidRPr="008C37FB">
        <w:rPr>
          <w:rFonts w:asciiTheme="minorHAnsi" w:hAnsiTheme="minorHAnsi" w:cstheme="minorHAnsi"/>
          <w:sz w:val="22"/>
          <w:szCs w:val="22"/>
        </w:rPr>
        <w:t>nationwide cohort</w:t>
      </w:r>
      <w:r w:rsidR="007947E5" w:rsidRPr="008C37FB">
        <w:rPr>
          <w:rFonts w:asciiTheme="minorHAnsi" w:hAnsiTheme="minorHAnsi" w:cstheme="minorHAnsi"/>
          <w:sz w:val="22"/>
          <w:szCs w:val="22"/>
        </w:rPr>
        <w:t xml:space="preserve"> Sister Study.</w:t>
      </w:r>
      <w:r w:rsidR="00CF10B7">
        <w:rPr>
          <w:rFonts w:asciiTheme="minorHAnsi" w:hAnsiTheme="minorHAnsi" w:cstheme="minorHAnsi"/>
          <w:sz w:val="22"/>
          <w:szCs w:val="22"/>
        </w:rPr>
        <w:t xml:space="preserve"> </w:t>
      </w:r>
      <w:r w:rsidR="00CF10B7" w:rsidRPr="00CF10B7">
        <w:rPr>
          <w:rFonts w:asciiTheme="minorHAnsi" w:hAnsiTheme="minorHAnsi" w:cstheme="minorHAnsi"/>
          <w:sz w:val="22"/>
          <w:szCs w:val="22"/>
        </w:rPr>
        <w:t xml:space="preserve">We hypothesized that </w:t>
      </w:r>
      <w:r w:rsidR="00BB0D70">
        <w:rPr>
          <w:rFonts w:asciiTheme="minorHAnsi" w:hAnsiTheme="minorHAnsi" w:cstheme="minorHAnsi"/>
          <w:sz w:val="22"/>
          <w:szCs w:val="22"/>
        </w:rPr>
        <w:t xml:space="preserve">factors that reflect </w:t>
      </w:r>
      <w:r w:rsidR="00C21F91">
        <w:rPr>
          <w:rFonts w:asciiTheme="minorHAnsi" w:hAnsiTheme="minorHAnsi" w:cstheme="minorHAnsi"/>
          <w:sz w:val="22"/>
          <w:szCs w:val="22"/>
        </w:rPr>
        <w:t>early</w:t>
      </w:r>
      <w:r w:rsidR="00D775AD">
        <w:rPr>
          <w:rFonts w:asciiTheme="minorHAnsi" w:hAnsiTheme="minorHAnsi" w:cstheme="minorHAnsi"/>
          <w:sz w:val="22"/>
          <w:szCs w:val="22"/>
        </w:rPr>
        <w:t>-life</w:t>
      </w:r>
      <w:r w:rsidR="00AF40EC">
        <w:rPr>
          <w:rFonts w:asciiTheme="minorHAnsi" w:hAnsiTheme="minorHAnsi" w:cstheme="minorHAnsi"/>
          <w:sz w:val="22"/>
          <w:szCs w:val="22"/>
        </w:rPr>
        <w:t xml:space="preserve"> </w:t>
      </w:r>
      <w:r w:rsidR="00AF40EC" w:rsidRPr="00E03D14">
        <w:rPr>
          <w:rFonts w:asciiTheme="minorHAnsi" w:hAnsiTheme="minorHAnsi" w:cstheme="minorHAnsi"/>
          <w:sz w:val="22"/>
          <w:szCs w:val="22"/>
        </w:rPr>
        <w:t xml:space="preserve">exposure to </w:t>
      </w:r>
      <w:r w:rsidR="00CF10B7" w:rsidRPr="00E03D14">
        <w:rPr>
          <w:rFonts w:asciiTheme="minorHAnsi" w:hAnsiTheme="minorHAnsi" w:cstheme="minorHAnsi"/>
          <w:sz w:val="22"/>
          <w:szCs w:val="22"/>
        </w:rPr>
        <w:t xml:space="preserve">high </w:t>
      </w:r>
      <w:r w:rsidR="00AF40EC" w:rsidRPr="00E03D14">
        <w:rPr>
          <w:rFonts w:asciiTheme="minorHAnsi" w:hAnsiTheme="minorHAnsi" w:cstheme="minorHAnsi"/>
          <w:sz w:val="22"/>
          <w:szCs w:val="22"/>
        </w:rPr>
        <w:t xml:space="preserve">levels of sex steroid </w:t>
      </w:r>
      <w:r w:rsidR="00AF40EC" w:rsidRPr="00E03D14">
        <w:rPr>
          <w:rFonts w:asciiTheme="minorHAnsi" w:hAnsiTheme="minorHAnsi" w:cstheme="minorHAnsi"/>
          <w:sz w:val="22"/>
          <w:szCs w:val="22"/>
        </w:rPr>
        <w:lastRenderedPageBreak/>
        <w:t xml:space="preserve">hormones, </w:t>
      </w:r>
      <w:r w:rsidR="00156701" w:rsidRPr="00E03D14">
        <w:rPr>
          <w:rFonts w:asciiTheme="minorHAnsi" w:hAnsiTheme="minorHAnsi" w:cstheme="minorHAnsi"/>
          <w:sz w:val="22"/>
          <w:szCs w:val="22"/>
        </w:rPr>
        <w:t>growth hormone</w:t>
      </w:r>
      <w:r w:rsidR="00AF40EC" w:rsidRPr="00E03D14">
        <w:rPr>
          <w:rFonts w:asciiTheme="minorHAnsi" w:hAnsiTheme="minorHAnsi" w:cstheme="minorHAnsi"/>
          <w:sz w:val="22"/>
          <w:szCs w:val="22"/>
        </w:rPr>
        <w:t>, and IGF-1</w:t>
      </w:r>
      <w:r w:rsidR="00CF10B7" w:rsidRPr="00E03D14">
        <w:rPr>
          <w:rFonts w:asciiTheme="minorHAnsi" w:hAnsiTheme="minorHAnsi" w:cstheme="minorHAnsi"/>
          <w:sz w:val="22"/>
          <w:szCs w:val="22"/>
        </w:rPr>
        <w:t xml:space="preserve"> would be associated with </w:t>
      </w:r>
      <w:r w:rsidR="008839E8">
        <w:rPr>
          <w:rFonts w:asciiTheme="minorHAnsi" w:hAnsiTheme="minorHAnsi" w:cstheme="minorHAnsi"/>
          <w:sz w:val="22"/>
          <w:szCs w:val="22"/>
        </w:rPr>
        <w:t xml:space="preserve">higher rates </w:t>
      </w:r>
      <w:r w:rsidR="00CF10B7" w:rsidRPr="00E03D14">
        <w:rPr>
          <w:rFonts w:asciiTheme="minorHAnsi" w:hAnsiTheme="minorHAnsi" w:cstheme="minorHAnsi"/>
          <w:sz w:val="22"/>
          <w:szCs w:val="22"/>
        </w:rPr>
        <w:t xml:space="preserve">of </w:t>
      </w:r>
      <w:r w:rsidR="005728F0" w:rsidRPr="00E03D14">
        <w:rPr>
          <w:rFonts w:asciiTheme="minorHAnsi" w:hAnsiTheme="minorHAnsi" w:cstheme="minorHAnsi"/>
          <w:sz w:val="22"/>
          <w:szCs w:val="22"/>
        </w:rPr>
        <w:t>thyroid cancer, specifically differentiated thyroid carcinoma (</w:t>
      </w:r>
      <w:r w:rsidR="00CF10B7" w:rsidRPr="00E03D14">
        <w:rPr>
          <w:rFonts w:asciiTheme="minorHAnsi" w:hAnsiTheme="minorHAnsi" w:cstheme="minorHAnsi"/>
          <w:sz w:val="22"/>
          <w:szCs w:val="22"/>
        </w:rPr>
        <w:t>DTC</w:t>
      </w:r>
      <w:r w:rsidR="005728F0" w:rsidRPr="00E03D14">
        <w:rPr>
          <w:rFonts w:asciiTheme="minorHAnsi" w:hAnsiTheme="minorHAnsi" w:cstheme="minorHAnsi"/>
          <w:sz w:val="22"/>
          <w:szCs w:val="22"/>
        </w:rPr>
        <w:t>), which accounts for 9</w:t>
      </w:r>
      <w:r w:rsidR="004662A4" w:rsidRPr="00E03D14">
        <w:rPr>
          <w:rFonts w:asciiTheme="minorHAnsi" w:hAnsiTheme="minorHAnsi" w:cstheme="minorHAnsi"/>
          <w:sz w:val="22"/>
          <w:szCs w:val="22"/>
        </w:rPr>
        <w:t>5</w:t>
      </w:r>
      <w:r w:rsidR="005728F0" w:rsidRPr="00E03D14">
        <w:rPr>
          <w:rFonts w:asciiTheme="minorHAnsi" w:hAnsiTheme="minorHAnsi" w:cstheme="minorHAnsi"/>
          <w:sz w:val="22"/>
          <w:szCs w:val="22"/>
        </w:rPr>
        <w:t>% of all cases</w:t>
      </w:r>
      <w:r w:rsidR="00CF10B7" w:rsidRPr="00E03D14">
        <w:rPr>
          <w:rFonts w:asciiTheme="minorHAnsi" w:hAnsiTheme="minorHAnsi" w:cstheme="minorHAnsi"/>
          <w:sz w:val="22"/>
          <w:szCs w:val="22"/>
        </w:rPr>
        <w:t>.</w:t>
      </w:r>
      <w:r w:rsidR="004662A4" w:rsidRPr="00E03D14">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 </w:instrText>
      </w:r>
      <w:r w:rsidR="00BF42BE" w:rsidRPr="00E67983">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EN.CITE.DATA </w:instrText>
      </w:r>
      <w:r w:rsidR="00BF42BE" w:rsidRPr="00E67983">
        <w:rPr>
          <w:rFonts w:asciiTheme="minorHAnsi" w:hAnsiTheme="minorHAnsi" w:cstheme="minorHAnsi"/>
          <w:sz w:val="22"/>
          <w:szCs w:val="22"/>
        </w:rPr>
      </w:r>
      <w:r w:rsidR="00BF42BE" w:rsidRPr="00E67983">
        <w:rPr>
          <w:rFonts w:asciiTheme="minorHAnsi" w:hAnsiTheme="minorHAnsi" w:cstheme="minorHAnsi"/>
          <w:sz w:val="22"/>
          <w:szCs w:val="22"/>
        </w:rPr>
        <w:fldChar w:fldCharType="end"/>
      </w:r>
      <w:r w:rsidR="004662A4" w:rsidRPr="00E03D14">
        <w:rPr>
          <w:rFonts w:asciiTheme="minorHAnsi" w:hAnsiTheme="minorHAnsi" w:cstheme="minorHAnsi"/>
          <w:sz w:val="22"/>
          <w:szCs w:val="22"/>
        </w:rPr>
      </w:r>
      <w:r w:rsidR="004662A4" w:rsidRPr="00E03D14">
        <w:rPr>
          <w:rFonts w:asciiTheme="minorHAnsi" w:hAnsiTheme="minorHAnsi" w:cstheme="minorHAnsi"/>
          <w:sz w:val="22"/>
          <w:szCs w:val="22"/>
        </w:rPr>
        <w:fldChar w:fldCharType="separate"/>
      </w:r>
      <w:r w:rsidR="00BF42BE" w:rsidRPr="00E67983">
        <w:rPr>
          <w:rFonts w:asciiTheme="minorHAnsi" w:hAnsiTheme="minorHAnsi" w:cstheme="minorHAnsi"/>
          <w:noProof/>
          <w:sz w:val="22"/>
          <w:szCs w:val="22"/>
          <w:vertAlign w:val="superscript"/>
        </w:rPr>
        <w:t>28</w:t>
      </w:r>
      <w:r w:rsidR="004662A4" w:rsidRPr="00E03D14">
        <w:rPr>
          <w:rFonts w:asciiTheme="minorHAnsi" w:hAnsiTheme="minorHAnsi" w:cstheme="minorHAnsi"/>
          <w:sz w:val="22"/>
          <w:szCs w:val="22"/>
        </w:rPr>
        <w:fldChar w:fldCharType="end"/>
      </w:r>
    </w:p>
    <w:p w14:paraId="133CFB4C" w14:textId="46BA86AF" w:rsidR="00A034D8" w:rsidRPr="008C37FB" w:rsidRDefault="00A034D8" w:rsidP="003C77CE">
      <w:pPr>
        <w:pStyle w:val="Heading1"/>
      </w:pPr>
      <w:r w:rsidRPr="008C37FB">
        <w:t>Methods</w:t>
      </w:r>
    </w:p>
    <w:p w14:paraId="72A2805E" w14:textId="77777777" w:rsidR="00591B2C" w:rsidRPr="008C37FB" w:rsidRDefault="00591B2C" w:rsidP="008C37FB">
      <w:pPr>
        <w:spacing w:line="360" w:lineRule="auto"/>
        <w:rPr>
          <w:rFonts w:cstheme="minorHAnsi"/>
          <w:b/>
          <w:bCs/>
        </w:rPr>
      </w:pPr>
      <w:r w:rsidRPr="008C37FB">
        <w:rPr>
          <w:rFonts w:cstheme="minorHAnsi"/>
          <w:b/>
          <w:bCs/>
        </w:rPr>
        <w:t>Study population</w:t>
      </w:r>
    </w:p>
    <w:p w14:paraId="0003304F" w14:textId="7D8CCD23" w:rsidR="00713D01" w:rsidRPr="008C37FB" w:rsidRDefault="00761C61" w:rsidP="008C37FB">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T</w:t>
      </w:r>
      <w:r w:rsidRPr="008C37FB">
        <w:rPr>
          <w:rFonts w:asciiTheme="minorHAnsi" w:hAnsiTheme="minorHAnsi" w:cstheme="minorHAnsi"/>
          <w:sz w:val="22"/>
          <w:szCs w:val="22"/>
        </w:rPr>
        <w:t xml:space="preserve">he Sister Study is a </w:t>
      </w:r>
      <w:r>
        <w:rPr>
          <w:rFonts w:asciiTheme="minorHAnsi" w:hAnsiTheme="minorHAnsi" w:cstheme="minorHAnsi"/>
          <w:sz w:val="22"/>
          <w:szCs w:val="22"/>
        </w:rPr>
        <w:t xml:space="preserve">U.S. </w:t>
      </w:r>
      <w:r w:rsidRPr="008C37FB">
        <w:rPr>
          <w:rFonts w:asciiTheme="minorHAnsi" w:hAnsiTheme="minorHAnsi" w:cstheme="minorHAnsi"/>
          <w:sz w:val="22"/>
          <w:szCs w:val="22"/>
        </w:rPr>
        <w:t>nationwide prospective cohort of 5</w:t>
      </w:r>
      <w:r w:rsidR="00FA1700">
        <w:rPr>
          <w:rFonts w:asciiTheme="minorHAnsi" w:hAnsiTheme="minorHAnsi" w:cstheme="minorHAnsi"/>
          <w:sz w:val="22"/>
          <w:szCs w:val="22"/>
        </w:rPr>
        <w:t>0,</w:t>
      </w:r>
      <w:r w:rsidRPr="008C37FB">
        <w:rPr>
          <w:rFonts w:asciiTheme="minorHAnsi" w:hAnsiTheme="minorHAnsi" w:cstheme="minorHAnsi"/>
          <w:sz w:val="22"/>
          <w:szCs w:val="22"/>
        </w:rPr>
        <w:t xml:space="preserve">884 women aged 35–74 </w:t>
      </w:r>
      <w:r>
        <w:rPr>
          <w:rFonts w:asciiTheme="minorHAnsi" w:hAnsiTheme="minorHAnsi" w:cstheme="minorHAnsi"/>
          <w:sz w:val="22"/>
          <w:szCs w:val="22"/>
        </w:rPr>
        <w:t xml:space="preserve">at the time of </w:t>
      </w:r>
      <w:r w:rsidRPr="008C37FB">
        <w:rPr>
          <w:rFonts w:asciiTheme="minorHAnsi" w:hAnsiTheme="minorHAnsi" w:cstheme="minorHAnsi"/>
          <w:sz w:val="22"/>
          <w:szCs w:val="22"/>
        </w:rPr>
        <w:t>enroll</w:t>
      </w:r>
      <w:r>
        <w:rPr>
          <w:rFonts w:asciiTheme="minorHAnsi" w:hAnsiTheme="minorHAnsi" w:cstheme="minorHAnsi"/>
          <w:sz w:val="22"/>
          <w:szCs w:val="22"/>
        </w:rPr>
        <w:t>ment (</w:t>
      </w:r>
      <w:r w:rsidRPr="008C37FB">
        <w:rPr>
          <w:rFonts w:asciiTheme="minorHAnsi" w:hAnsiTheme="minorHAnsi" w:cstheme="minorHAnsi"/>
          <w:sz w:val="22"/>
          <w:szCs w:val="22"/>
        </w:rPr>
        <w:t>2003–2009</w:t>
      </w:r>
      <w:r>
        <w:rPr>
          <w:rFonts w:asciiTheme="minorHAnsi" w:hAnsiTheme="minorHAnsi" w:cstheme="minorHAnsi"/>
          <w:sz w:val="22"/>
          <w:szCs w:val="22"/>
        </w:rPr>
        <w:t>).</w:t>
      </w:r>
      <w:r w:rsidR="000B7CA7" w:rsidRPr="00A45EDC">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0B7CA7" w:rsidRPr="00A45EDC">
        <w:rPr>
          <w:rFonts w:asciiTheme="minorHAnsi" w:hAnsiTheme="minorHAnsi" w:cstheme="minorHAnsi"/>
          <w:sz w:val="22"/>
          <w:szCs w:val="22"/>
        </w:rPr>
      </w:r>
      <w:r w:rsidR="000B7CA7"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29</w:t>
      </w:r>
      <w:r w:rsidR="000B7CA7"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had a sister with breast cancer but were breast cancer-free themselves at baseline. Baseline data</w:t>
      </w:r>
      <w:r w:rsidR="00FF0DA9">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collected </w:t>
      </w:r>
      <w:r w:rsidR="00FF0DA9">
        <w:rPr>
          <w:rFonts w:asciiTheme="minorHAnsi" w:hAnsiTheme="minorHAnsi" w:cstheme="minorHAnsi"/>
          <w:sz w:val="22"/>
          <w:szCs w:val="22"/>
        </w:rPr>
        <w:t>from</w:t>
      </w:r>
      <w:r w:rsidR="00FF0DA9"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self-administered questionnaires and computer-assisted telephone interviews. Anthropometric measurements and biospecimens were obtained via in-person home visits. Participants </w:t>
      </w:r>
      <w:r w:rsidR="008325A7">
        <w:rPr>
          <w:rFonts w:asciiTheme="minorHAnsi" w:hAnsiTheme="minorHAnsi" w:cstheme="minorHAnsi"/>
          <w:sz w:val="22"/>
          <w:szCs w:val="22"/>
        </w:rPr>
        <w:t>were</w:t>
      </w:r>
      <w:r w:rsidR="008325A7"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recontacted every 2-3 years for health and lifestyle updates, with response rates consistently exceeding 85%.</w:t>
      </w:r>
      <w:r w:rsidR="00CB469F" w:rsidRPr="00A45EDC">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&lt;EndNote&gt;&lt;Cite&gt;&lt;RecNum&gt;344&lt;/RecNum&gt;&lt;DisplayText&gt;&lt;style face="superscript"&gt;30&lt;/style&gt;&lt;/DisplayText&gt;&lt;record&gt;&lt;rec-number&gt;344&lt;/rec-number&gt;&lt;foreign-keys&gt;&lt;key app="EN" db-id="9eeeap9akwrsete9ft3xp2puxwwrw9ev5fd0" timestamp="1704229414"&gt;344&lt;/key&gt;&lt;/foreign-keys&gt;&lt;ref-type name="Web Page"&gt;12&lt;/ref-type&gt;&lt;contributors&gt;&lt;/contributors&gt;&lt;titles&gt;&lt;title&gt;Cohort participation status &amp;amp; response rates&lt;/title&gt;&lt;/titles&gt;&lt;number&gt;January 2, 2023&lt;/number&gt;&lt;dates&gt;&lt;/dates&gt;&lt;urls&gt;&lt;related-urls&gt;&lt;url&gt;https://sisterstudy.niehs.nih.gov/English/response-rates.htm&lt;/url&gt;&lt;/related-urls&gt;&lt;/urls&gt;&lt;/record&gt;&lt;/Cite&gt;&lt;/EndNote&gt;</w:instrText>
      </w:r>
      <w:r w:rsidR="00CB469F"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30</w:t>
      </w:r>
      <w:r w:rsidR="00CB469F"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provided written informed consent and the National Institutes of Health's institutional review board approved the study.</w:t>
      </w:r>
      <w:r w:rsidR="00000EC8">
        <w:rPr>
          <w:rFonts w:asciiTheme="minorHAnsi" w:hAnsiTheme="minorHAnsi" w:cstheme="minorHAnsi"/>
          <w:sz w:val="22"/>
          <w:szCs w:val="22"/>
        </w:rPr>
        <w:t xml:space="preserve"> </w:t>
      </w:r>
      <w:r w:rsidR="00000EC8" w:rsidRPr="003D142C">
        <w:rPr>
          <w:rFonts w:asciiTheme="minorHAnsi" w:hAnsiTheme="minorHAnsi" w:cstheme="minorHAnsi"/>
          <w:sz w:val="22"/>
          <w:szCs w:val="22"/>
        </w:rPr>
        <w:t>Data are complete through mid-September 2021 (data release 11.1).</w:t>
      </w:r>
    </w:p>
    <w:p w14:paraId="097EF49D" w14:textId="5DBF7D30" w:rsidR="00591B2C"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excluded individuals who </w:t>
      </w:r>
      <w:r w:rsidR="009516EB">
        <w:rPr>
          <w:rFonts w:asciiTheme="minorHAnsi" w:hAnsiTheme="minorHAnsi" w:cstheme="minorHAnsi"/>
          <w:sz w:val="22"/>
          <w:szCs w:val="22"/>
        </w:rPr>
        <w:t>had</w:t>
      </w:r>
      <w:r w:rsidRPr="008C37FB">
        <w:rPr>
          <w:rFonts w:asciiTheme="minorHAnsi" w:hAnsiTheme="minorHAnsi" w:cstheme="minorHAnsi"/>
          <w:sz w:val="22"/>
          <w:szCs w:val="22"/>
        </w:rPr>
        <w:t xml:space="preserve"> a history of invasive cancer (n=2</w:t>
      </w:r>
      <w:r w:rsidR="00FA1700">
        <w:rPr>
          <w:rFonts w:asciiTheme="minorHAnsi" w:hAnsiTheme="minorHAnsi" w:cstheme="minorHAnsi"/>
          <w:sz w:val="22"/>
          <w:szCs w:val="22"/>
        </w:rPr>
        <w:t>,</w:t>
      </w:r>
      <w:r w:rsidRPr="008C37FB">
        <w:rPr>
          <w:rFonts w:asciiTheme="minorHAnsi" w:hAnsiTheme="minorHAnsi" w:cstheme="minorHAnsi"/>
          <w:sz w:val="22"/>
          <w:szCs w:val="22"/>
        </w:rPr>
        <w:t>911) or chemotherapy or radiotherapy for cancer (n=55) before baseline</w:t>
      </w:r>
      <w:r w:rsidR="006E731B" w:rsidRPr="003D142C">
        <w:rPr>
          <w:rFonts w:asciiTheme="minorHAnsi" w:hAnsiTheme="minorHAnsi" w:cstheme="minorHAnsi"/>
          <w:sz w:val="22"/>
          <w:szCs w:val="22"/>
        </w:rPr>
        <w:t>, and those who withdrew from the study (n=5)</w:t>
      </w:r>
      <w:r w:rsidRPr="008C37FB">
        <w:rPr>
          <w:rFonts w:asciiTheme="minorHAnsi" w:hAnsiTheme="minorHAnsi" w:cstheme="minorHAnsi"/>
          <w:sz w:val="22"/>
          <w:szCs w:val="22"/>
        </w:rPr>
        <w:t xml:space="preserve">. </w:t>
      </w:r>
      <w:r w:rsidR="006E731B">
        <w:rPr>
          <w:rFonts w:asciiTheme="minorHAnsi" w:hAnsiTheme="minorHAnsi" w:cstheme="minorHAnsi"/>
          <w:sz w:val="22"/>
          <w:szCs w:val="22"/>
        </w:rPr>
        <w:t>After exclusions, t</w:t>
      </w:r>
      <w:r w:rsidRPr="008C37FB">
        <w:rPr>
          <w:rFonts w:asciiTheme="minorHAnsi" w:hAnsiTheme="minorHAnsi" w:cstheme="minorHAnsi"/>
          <w:sz w:val="22"/>
          <w:szCs w:val="22"/>
        </w:rPr>
        <w:t xml:space="preserve">he study population comprised 47,913 individuals. </w:t>
      </w:r>
    </w:p>
    <w:p w14:paraId="06285A47" w14:textId="163273D4" w:rsidR="00EA6405" w:rsidRPr="008C37FB" w:rsidRDefault="00EA6405" w:rsidP="008C37FB">
      <w:pPr>
        <w:spacing w:line="360" w:lineRule="auto"/>
        <w:rPr>
          <w:rFonts w:cstheme="minorHAnsi"/>
          <w:b/>
          <w:bCs/>
        </w:rPr>
      </w:pPr>
      <w:r w:rsidRPr="008C37FB">
        <w:rPr>
          <w:rFonts w:cstheme="minorHAnsi"/>
          <w:b/>
          <w:bCs/>
        </w:rPr>
        <w:t>Outcome definition</w:t>
      </w:r>
    </w:p>
    <w:p w14:paraId="14E7E34C" w14:textId="54522D4C" w:rsidR="00555F29" w:rsidRPr="008C37FB" w:rsidRDefault="00713D01" w:rsidP="008C37FB">
      <w:pPr>
        <w:pStyle w:val="NormalWeb"/>
        <w:spacing w:line="360" w:lineRule="auto"/>
        <w:rPr>
          <w:rFonts w:asciiTheme="minorHAnsi" w:hAnsiTheme="minorHAnsi" w:cstheme="minorHAnsi"/>
          <w:color w:val="0D0D0D"/>
          <w:sz w:val="22"/>
          <w:szCs w:val="22"/>
        </w:rPr>
      </w:pPr>
      <w:r w:rsidRPr="008C37FB">
        <w:rPr>
          <w:rFonts w:asciiTheme="minorHAnsi" w:hAnsiTheme="minorHAnsi" w:cstheme="minorHAnsi"/>
          <w:sz w:val="22"/>
          <w:szCs w:val="22"/>
        </w:rPr>
        <w:t xml:space="preserve">By the end of follow-up, 252 </w:t>
      </w:r>
      <w:r w:rsidR="008325A7">
        <w:rPr>
          <w:rFonts w:asciiTheme="minorHAnsi" w:hAnsiTheme="minorHAnsi" w:cstheme="minorHAnsi"/>
          <w:sz w:val="22"/>
          <w:szCs w:val="22"/>
        </w:rPr>
        <w:t xml:space="preserve">first primary </w:t>
      </w:r>
      <w:r w:rsidR="0050537D">
        <w:rPr>
          <w:rFonts w:asciiTheme="minorHAnsi" w:hAnsiTheme="minorHAnsi" w:cstheme="minorHAnsi"/>
          <w:sz w:val="22"/>
          <w:szCs w:val="22"/>
        </w:rPr>
        <w:t>thyroid cancer diagnoses were reported</w:t>
      </w:r>
      <w:r w:rsidRPr="008C37FB">
        <w:rPr>
          <w:rFonts w:asciiTheme="minorHAnsi" w:hAnsiTheme="minorHAnsi" w:cstheme="minorHAnsi"/>
          <w:sz w:val="22"/>
          <w:szCs w:val="22"/>
        </w:rPr>
        <w:t xml:space="preserve">. </w:t>
      </w:r>
      <w:r w:rsidR="008325A7">
        <w:rPr>
          <w:rFonts w:asciiTheme="minorHAnsi" w:hAnsiTheme="minorHAnsi" w:cstheme="minorHAnsi"/>
          <w:sz w:val="22"/>
          <w:szCs w:val="22"/>
        </w:rPr>
        <w:t>Of</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these, 188 (74.6%) were confirmed through medical records/pathology reports (</w:t>
      </w:r>
      <w:r w:rsidR="007355DB">
        <w:rPr>
          <w:rFonts w:asciiTheme="minorHAnsi" w:hAnsiTheme="minorHAnsi" w:cstheme="minorHAnsi"/>
          <w:sz w:val="22"/>
          <w:szCs w:val="22"/>
        </w:rPr>
        <w:t>n</w:t>
      </w:r>
      <w:r w:rsidRPr="008C37FB">
        <w:rPr>
          <w:rFonts w:asciiTheme="minorHAnsi" w:hAnsiTheme="minorHAnsi" w:cstheme="minorHAnsi"/>
          <w:sz w:val="22"/>
          <w:szCs w:val="22"/>
        </w:rPr>
        <w:t xml:space="preserve">=187) or National Death Index/death certification (n=1). </w:t>
      </w:r>
      <w:r w:rsidR="008325A7">
        <w:rPr>
          <w:rFonts w:asciiTheme="minorHAnsi" w:hAnsiTheme="minorHAnsi" w:cstheme="minorHAnsi"/>
          <w:sz w:val="22"/>
          <w:szCs w:val="22"/>
        </w:rPr>
        <w:t>To restrict the case group to DTCs, w</w:t>
      </w:r>
      <w:r w:rsidRPr="008C37FB">
        <w:rPr>
          <w:rFonts w:asciiTheme="minorHAnsi" w:hAnsiTheme="minorHAnsi" w:cstheme="minorHAnsi"/>
          <w:sz w:val="22"/>
          <w:szCs w:val="22"/>
        </w:rPr>
        <w:t xml:space="preserve">e </w:t>
      </w:r>
      <w:r w:rsidR="008325A7">
        <w:rPr>
          <w:rFonts w:asciiTheme="minorHAnsi" w:hAnsiTheme="minorHAnsi" w:cstheme="minorHAnsi"/>
          <w:sz w:val="22"/>
          <w:szCs w:val="22"/>
        </w:rPr>
        <w:t xml:space="preserve">further </w:t>
      </w:r>
      <w:r w:rsidR="00C96130">
        <w:rPr>
          <w:rFonts w:asciiTheme="minorHAnsi" w:hAnsiTheme="minorHAnsi" w:cstheme="minorHAnsi"/>
          <w:sz w:val="22"/>
          <w:szCs w:val="22"/>
        </w:rPr>
        <w:t>excluded</w:t>
      </w:r>
      <w:r w:rsidRPr="008C37FB">
        <w:rPr>
          <w:rFonts w:asciiTheme="minorHAnsi" w:hAnsiTheme="minorHAnsi" w:cstheme="minorHAnsi"/>
          <w:sz w:val="22"/>
          <w:szCs w:val="22"/>
        </w:rPr>
        <w:t xml:space="preserve"> poorly differentiated thyroid carcinoma (confirmed with pathology reports; n=5), anaplastic thyroid carcinoma (histology code: 8021; n=1), medullary thyroid carcinoma (histology codes: 8346, 8347, 8510, n=5), and </w:t>
      </w:r>
      <w:r w:rsidR="003207ED">
        <w:rPr>
          <w:rFonts w:asciiTheme="minorHAnsi" w:hAnsiTheme="minorHAnsi" w:cstheme="minorHAnsi"/>
          <w:sz w:val="22"/>
          <w:szCs w:val="22"/>
        </w:rPr>
        <w:t xml:space="preserve">thyroid cancer of </w:t>
      </w:r>
      <w:r w:rsidRPr="008C37FB">
        <w:rPr>
          <w:rFonts w:asciiTheme="minorHAnsi" w:hAnsiTheme="minorHAnsi" w:cstheme="minorHAnsi"/>
          <w:sz w:val="22"/>
          <w:szCs w:val="22"/>
        </w:rPr>
        <w:t xml:space="preserve">indeterminate </w:t>
      </w:r>
      <w:r w:rsidR="0095154B">
        <w:rPr>
          <w:rFonts w:asciiTheme="minorHAnsi" w:hAnsiTheme="minorHAnsi" w:cstheme="minorHAnsi"/>
          <w:sz w:val="22"/>
          <w:szCs w:val="22"/>
        </w:rPr>
        <w:t>histology</w:t>
      </w:r>
      <w:r w:rsidR="008325A7">
        <w:rPr>
          <w:rFonts w:asciiTheme="minorHAnsi" w:hAnsiTheme="minorHAnsi" w:cstheme="minorHAnsi"/>
          <w:sz w:val="22"/>
          <w:szCs w:val="22"/>
        </w:rPr>
        <w:t xml:space="preserve"> </w:t>
      </w:r>
      <w:r w:rsidRPr="008C37FB">
        <w:rPr>
          <w:rFonts w:asciiTheme="minorHAnsi" w:hAnsiTheme="minorHAnsi" w:cstheme="minorHAnsi"/>
          <w:sz w:val="22"/>
          <w:szCs w:val="22"/>
        </w:rPr>
        <w:t xml:space="preserve">(histology code: 8265, 9084, n=2). </w:t>
      </w:r>
      <w:r w:rsidR="00761C61">
        <w:rPr>
          <w:rFonts w:asciiTheme="minorHAnsi" w:hAnsiTheme="minorHAnsi" w:cstheme="minorHAnsi"/>
          <w:sz w:val="22"/>
          <w:szCs w:val="22"/>
        </w:rPr>
        <w:t xml:space="preserve">We further classified </w:t>
      </w:r>
      <w:r w:rsidR="008325A7">
        <w:rPr>
          <w:rFonts w:asciiTheme="minorHAnsi" w:hAnsiTheme="minorHAnsi" w:cstheme="minorHAnsi"/>
          <w:sz w:val="22"/>
          <w:szCs w:val="22"/>
        </w:rPr>
        <w:t>DTC cases with</w:t>
      </w:r>
      <w:r w:rsidRPr="008C37FB">
        <w:rPr>
          <w:rFonts w:asciiTheme="minorHAnsi" w:hAnsiTheme="minorHAnsi" w:cstheme="minorHAnsi"/>
          <w:sz w:val="22"/>
          <w:szCs w:val="22"/>
        </w:rPr>
        <w:t xml:space="preserve"> confirmed histology codes (n=174) </w:t>
      </w:r>
      <w:r w:rsidR="008325A7">
        <w:rPr>
          <w:rFonts w:asciiTheme="minorHAnsi" w:hAnsiTheme="minorHAnsi" w:cstheme="minorHAnsi"/>
          <w:sz w:val="22"/>
          <w:szCs w:val="22"/>
        </w:rPr>
        <w:t xml:space="preserve">as </w:t>
      </w:r>
      <w:r w:rsidRPr="008C37FB">
        <w:rPr>
          <w:rFonts w:asciiTheme="minorHAnsi" w:hAnsiTheme="minorHAnsi" w:cstheme="minorHAnsi"/>
          <w:sz w:val="22"/>
          <w:szCs w:val="22"/>
        </w:rPr>
        <w:t xml:space="preserve">papillary thyroid carcinomas (histology codes: 8050, 8260, 8340-8344, 8350, 8450-8460, n=164), follicular thyroid carcinomas (histology codes: 8290, 8330-8335, n=7), </w:t>
      </w:r>
      <w:r w:rsidR="008325A7">
        <w:rPr>
          <w:rFonts w:asciiTheme="minorHAnsi" w:hAnsiTheme="minorHAnsi" w:cstheme="minorHAnsi"/>
          <w:sz w:val="22"/>
          <w:szCs w:val="22"/>
        </w:rPr>
        <w:t>or</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unspecified carcinomas and neoplasms (histology code: 8000, 8010, n=3).</w:t>
      </w:r>
    </w:p>
    <w:p w14:paraId="2A7F6413" w14:textId="6FA09240" w:rsidR="002921AA" w:rsidRPr="008C37FB" w:rsidRDefault="002921AA" w:rsidP="008C37FB">
      <w:pPr>
        <w:spacing w:line="360" w:lineRule="auto"/>
        <w:rPr>
          <w:rFonts w:cstheme="minorHAnsi"/>
          <w:b/>
          <w:bCs/>
        </w:rPr>
      </w:pPr>
      <w:r w:rsidRPr="008C37FB">
        <w:rPr>
          <w:rFonts w:cstheme="minorHAnsi"/>
          <w:b/>
          <w:bCs/>
        </w:rPr>
        <w:t>Exposure definition</w:t>
      </w:r>
    </w:p>
    <w:p w14:paraId="328E0F0A" w14:textId="63360A86" w:rsidR="00C70321" w:rsidRDefault="00AB6D8D" w:rsidP="006C1BBE">
      <w:pPr>
        <w:pStyle w:val="NormalWeb"/>
        <w:spacing w:line="360" w:lineRule="auto"/>
        <w:rPr>
          <w:rFonts w:asciiTheme="minorHAnsi" w:hAnsiTheme="minorHAnsi" w:cstheme="minorHAnsi"/>
          <w:sz w:val="22"/>
          <w:szCs w:val="22"/>
        </w:rPr>
      </w:pPr>
      <w:r>
        <w:rPr>
          <w:rFonts w:asciiTheme="minorHAnsi" w:hAnsiTheme="minorHAnsi" w:cstheme="minorHAnsi"/>
          <w:sz w:val="22"/>
          <w:szCs w:val="22"/>
        </w:rPr>
        <w:lastRenderedPageBreak/>
        <w:t>C</w:t>
      </w:r>
      <w:r w:rsidR="00713D01" w:rsidRPr="008C37FB">
        <w:rPr>
          <w:rFonts w:asciiTheme="minorHAnsi" w:hAnsiTheme="minorHAnsi" w:cstheme="minorHAnsi"/>
          <w:sz w:val="22"/>
          <w:szCs w:val="22"/>
        </w:rPr>
        <w:t xml:space="preserve">hildhood and adolescent </w:t>
      </w:r>
      <w:r w:rsidR="00A239B6">
        <w:rPr>
          <w:rFonts w:asciiTheme="minorHAnsi" w:hAnsiTheme="minorHAnsi" w:cstheme="minorHAnsi"/>
          <w:sz w:val="22"/>
          <w:szCs w:val="22"/>
        </w:rPr>
        <w:t>factors</w:t>
      </w:r>
      <w:r w:rsidR="00713D01" w:rsidRPr="008C37FB">
        <w:rPr>
          <w:rFonts w:asciiTheme="minorHAnsi" w:hAnsiTheme="minorHAnsi" w:cstheme="minorHAnsi"/>
          <w:sz w:val="22"/>
          <w:szCs w:val="22"/>
        </w:rPr>
        <w:t xml:space="preserve"> were ascertained </w:t>
      </w:r>
      <w:r>
        <w:rPr>
          <w:rFonts w:asciiTheme="minorHAnsi" w:hAnsiTheme="minorHAnsi" w:cstheme="minorHAnsi"/>
          <w:sz w:val="22"/>
          <w:szCs w:val="22"/>
        </w:rPr>
        <w:t>from responses to</w:t>
      </w:r>
      <w:r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baseline questionnaires. </w:t>
      </w:r>
      <w:r w:rsidR="004D5CED">
        <w:rPr>
          <w:rFonts w:asciiTheme="minorHAnsi" w:hAnsiTheme="minorHAnsi" w:cstheme="minorHAnsi"/>
          <w:sz w:val="22"/>
          <w:szCs w:val="22"/>
        </w:rPr>
        <w:t>Anthropometry</w:t>
      </w:r>
      <w:r w:rsidR="004D5CED"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and </w:t>
      </w:r>
      <w:r w:rsidR="00765279">
        <w:rPr>
          <w:rFonts w:asciiTheme="minorHAnsi" w:hAnsiTheme="minorHAnsi" w:cstheme="minorHAnsi"/>
          <w:sz w:val="22"/>
          <w:szCs w:val="22"/>
        </w:rPr>
        <w:t>reproductive</w:t>
      </w:r>
      <w:r w:rsidR="009617D0"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factors included weight</w:t>
      </w:r>
      <w:r w:rsidR="00831FCF">
        <w:rPr>
          <w:rFonts w:asciiTheme="minorHAnsi" w:hAnsiTheme="minorHAnsi" w:cstheme="minorHAnsi"/>
          <w:sz w:val="22"/>
          <w:szCs w:val="22"/>
        </w:rPr>
        <w:t xml:space="preserve"> </w:t>
      </w:r>
      <w:r w:rsidR="006C03A3">
        <w:rPr>
          <w:rFonts w:asciiTheme="minorHAnsi" w:hAnsiTheme="minorHAnsi" w:cstheme="minorHAnsi"/>
          <w:sz w:val="22"/>
          <w:szCs w:val="22"/>
        </w:rPr>
        <w:t xml:space="preserve">(lighter/same weight/heavier) </w:t>
      </w:r>
      <w:r w:rsidR="00831FCF">
        <w:rPr>
          <w:rFonts w:asciiTheme="minorHAnsi" w:hAnsiTheme="minorHAnsi" w:cstheme="minorHAnsi"/>
          <w:sz w:val="22"/>
          <w:szCs w:val="22"/>
        </w:rPr>
        <w:t xml:space="preserve">and height </w:t>
      </w:r>
      <w:r w:rsidR="0063711B">
        <w:rPr>
          <w:rFonts w:asciiTheme="minorHAnsi" w:hAnsiTheme="minorHAnsi" w:cstheme="minorHAnsi"/>
          <w:sz w:val="22"/>
          <w:szCs w:val="22"/>
        </w:rPr>
        <w:t xml:space="preserve">(shorter/same height/taller) </w:t>
      </w:r>
      <w:r>
        <w:rPr>
          <w:rFonts w:asciiTheme="minorHAnsi" w:hAnsiTheme="minorHAnsi" w:cstheme="minorHAnsi"/>
          <w:sz w:val="22"/>
          <w:szCs w:val="22"/>
        </w:rPr>
        <w:t xml:space="preserve">relative </w:t>
      </w:r>
      <w:r w:rsidR="00831FCF">
        <w:rPr>
          <w:rFonts w:asciiTheme="minorHAnsi" w:hAnsiTheme="minorHAnsi" w:cstheme="minorHAnsi"/>
          <w:sz w:val="22"/>
          <w:szCs w:val="22"/>
        </w:rPr>
        <w:t xml:space="preserve">to peers </w:t>
      </w:r>
      <w:r w:rsidR="00713D01" w:rsidRPr="008C37FB">
        <w:rPr>
          <w:rFonts w:asciiTheme="minorHAnsi" w:hAnsiTheme="minorHAnsi" w:cstheme="minorHAnsi"/>
          <w:sz w:val="22"/>
          <w:szCs w:val="22"/>
        </w:rPr>
        <w:t xml:space="preserve">at age 10, </w:t>
      </w:r>
      <w:r w:rsidR="000E5C9E" w:rsidRPr="008C37FB">
        <w:rPr>
          <w:rFonts w:asciiTheme="minorHAnsi" w:hAnsiTheme="minorHAnsi" w:cstheme="minorHAnsi"/>
          <w:sz w:val="22"/>
          <w:szCs w:val="22"/>
        </w:rPr>
        <w:t>weight</w:t>
      </w:r>
      <w:r w:rsidR="000E5C9E">
        <w:rPr>
          <w:rFonts w:asciiTheme="minorHAnsi" w:hAnsiTheme="minorHAnsi" w:cstheme="minorHAnsi"/>
          <w:sz w:val="22"/>
          <w:szCs w:val="22"/>
        </w:rPr>
        <w:t xml:space="preserve"> </w:t>
      </w:r>
      <w:r w:rsidR="0063711B">
        <w:rPr>
          <w:rFonts w:asciiTheme="minorHAnsi" w:hAnsiTheme="minorHAnsi" w:cstheme="minorHAnsi"/>
          <w:sz w:val="22"/>
          <w:szCs w:val="22"/>
        </w:rPr>
        <w:t xml:space="preserve">(lighter/same weight/heavier) </w:t>
      </w:r>
      <w:r>
        <w:rPr>
          <w:rFonts w:asciiTheme="minorHAnsi" w:hAnsiTheme="minorHAnsi" w:cstheme="minorHAnsi"/>
          <w:sz w:val="22"/>
          <w:szCs w:val="22"/>
        </w:rPr>
        <w:t xml:space="preserve">relative </w:t>
      </w:r>
      <w:r w:rsidR="000E5C9E">
        <w:rPr>
          <w:rFonts w:asciiTheme="minorHAnsi" w:hAnsiTheme="minorHAnsi" w:cstheme="minorHAnsi"/>
          <w:sz w:val="22"/>
          <w:szCs w:val="22"/>
        </w:rPr>
        <w:t>to peers during teen years</w:t>
      </w:r>
      <w:r w:rsidR="00713D01" w:rsidRPr="008C37FB">
        <w:rPr>
          <w:rFonts w:asciiTheme="minorHAnsi" w:hAnsiTheme="minorHAnsi" w:cstheme="minorHAnsi"/>
          <w:sz w:val="22"/>
          <w:szCs w:val="22"/>
        </w:rPr>
        <w:t>, age at breast development</w:t>
      </w:r>
      <w:r w:rsidR="00E12089">
        <w:rPr>
          <w:rFonts w:asciiTheme="minorHAnsi" w:hAnsiTheme="minorHAnsi" w:cstheme="minorHAnsi"/>
          <w:sz w:val="22"/>
          <w:szCs w:val="22"/>
        </w:rPr>
        <w:t xml:space="preserve"> (continuous</w:t>
      </w:r>
      <w:r w:rsidR="00A961B3">
        <w:rPr>
          <w:rFonts w:asciiTheme="minorHAnsi" w:hAnsiTheme="minorHAnsi" w:cstheme="minorHAnsi"/>
          <w:sz w:val="22"/>
          <w:szCs w:val="22"/>
        </w:rPr>
        <w:t xml:space="preserve">, </w:t>
      </w:r>
      <w:r w:rsidR="002711A7">
        <w:rPr>
          <w:rFonts w:asciiTheme="minorHAnsi" w:hAnsiTheme="minorHAnsi" w:cstheme="minorHAnsi"/>
          <w:sz w:val="22"/>
          <w:szCs w:val="22"/>
        </w:rPr>
        <w:t xml:space="preserve">categorized as </w:t>
      </w:r>
      <w:r w:rsidR="008A48AE">
        <w:rPr>
          <w:rFonts w:asciiTheme="minorHAnsi" w:hAnsiTheme="minorHAnsi" w:cstheme="minorHAnsi"/>
          <w:sz w:val="22"/>
          <w:szCs w:val="22"/>
        </w:rPr>
        <w:t>&lt;</w:t>
      </w:r>
      <w:r w:rsidR="00A961B3" w:rsidRPr="00A961B3">
        <w:rPr>
          <w:rFonts w:asciiTheme="minorHAnsi" w:hAnsiTheme="minorHAnsi" w:cstheme="minorHAnsi"/>
          <w:sz w:val="22"/>
          <w:szCs w:val="22"/>
        </w:rPr>
        <w:t>11</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11-13</w:t>
      </w:r>
      <w:r w:rsidR="00273C91">
        <w:rPr>
          <w:rFonts w:asciiTheme="minorHAnsi" w:hAnsiTheme="minorHAnsi" w:cstheme="minorHAnsi"/>
          <w:sz w:val="22"/>
          <w:szCs w:val="22"/>
        </w:rPr>
        <w:t>/</w:t>
      </w:r>
      <w:r w:rsidR="008A48AE">
        <w:rPr>
          <w:rFonts w:asciiTheme="minorHAnsi" w:hAnsiTheme="minorHAnsi" w:cstheme="minorHAnsi"/>
          <w:sz w:val="22"/>
          <w:szCs w:val="22"/>
        </w:rPr>
        <w:t>≥</w:t>
      </w:r>
      <w:r w:rsidR="00A961B3" w:rsidRPr="00A961B3">
        <w:rPr>
          <w:rFonts w:asciiTheme="minorHAnsi" w:hAnsiTheme="minorHAnsi" w:cstheme="minorHAnsi"/>
          <w:sz w:val="22"/>
          <w:szCs w:val="22"/>
        </w:rPr>
        <w:t>14 years</w:t>
      </w:r>
      <w:r w:rsidR="00273C91">
        <w:rPr>
          <w:rFonts w:asciiTheme="minorHAnsi" w:hAnsiTheme="minorHAnsi" w:cstheme="minorHAnsi"/>
          <w:sz w:val="22"/>
          <w:szCs w:val="22"/>
        </w:rPr>
        <w:t>/</w:t>
      </w:r>
      <w:r w:rsidR="002711A7">
        <w:rPr>
          <w:rFonts w:asciiTheme="minorHAnsi" w:hAnsiTheme="minorHAnsi" w:cstheme="minorHAnsi"/>
          <w:sz w:val="22"/>
          <w:szCs w:val="22"/>
        </w:rPr>
        <w:t>u</w:t>
      </w:r>
      <w:r w:rsidR="00A961B3" w:rsidRPr="00A961B3">
        <w:rPr>
          <w:rFonts w:asciiTheme="minorHAnsi" w:hAnsiTheme="minorHAnsi" w:cstheme="minorHAnsi"/>
          <w:sz w:val="22"/>
          <w:szCs w:val="22"/>
        </w:rPr>
        <w:t>nknown</w:t>
      </w:r>
      <w:r w:rsidR="00E12089">
        <w:rPr>
          <w:rFonts w:asciiTheme="minorHAnsi" w:hAnsiTheme="minorHAnsi" w:cstheme="minorHAnsi"/>
          <w:sz w:val="22"/>
          <w:szCs w:val="22"/>
        </w:rPr>
        <w:t>)</w:t>
      </w:r>
      <w:r w:rsidR="00713D01" w:rsidRPr="008C37FB">
        <w:rPr>
          <w:rFonts w:asciiTheme="minorHAnsi" w:hAnsiTheme="minorHAnsi" w:cstheme="minorHAnsi"/>
          <w:sz w:val="22"/>
          <w:szCs w:val="22"/>
        </w:rPr>
        <w:t>, age at menarche</w:t>
      </w:r>
      <w:r w:rsidR="00A961B3">
        <w:rPr>
          <w:rFonts w:asciiTheme="minorHAnsi" w:hAnsiTheme="minorHAnsi" w:cstheme="minorHAnsi"/>
          <w:sz w:val="22"/>
          <w:szCs w:val="22"/>
        </w:rPr>
        <w:t xml:space="preserve"> (continuous,</w:t>
      </w:r>
      <w:r w:rsidR="002711A7">
        <w:rPr>
          <w:rFonts w:asciiTheme="minorHAnsi" w:hAnsiTheme="minorHAnsi" w:cstheme="minorHAnsi"/>
          <w:sz w:val="22"/>
          <w:szCs w:val="22"/>
        </w:rPr>
        <w:t xml:space="preserve"> categorized as</w:t>
      </w:r>
      <w:r w:rsidR="00A961B3">
        <w:rPr>
          <w:rFonts w:asciiTheme="minorHAnsi" w:hAnsiTheme="minorHAnsi" w:cstheme="minorHAnsi"/>
          <w:sz w:val="22"/>
          <w:szCs w:val="22"/>
        </w:rPr>
        <w:t xml:space="preserve"> </w:t>
      </w:r>
      <w:r w:rsidR="008A48AE">
        <w:rPr>
          <w:rFonts w:asciiTheme="minorHAnsi" w:hAnsiTheme="minorHAnsi" w:cstheme="minorHAnsi"/>
          <w:sz w:val="22"/>
          <w:szCs w:val="22"/>
        </w:rPr>
        <w:t>&lt;</w:t>
      </w:r>
      <w:r w:rsidR="008E38C6" w:rsidRPr="008E38C6">
        <w:rPr>
          <w:rFonts w:asciiTheme="minorHAnsi" w:hAnsiTheme="minorHAnsi" w:cstheme="minorHAnsi"/>
          <w:sz w:val="22"/>
          <w:szCs w:val="22"/>
        </w:rPr>
        <w:t>12</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12-1</w:t>
      </w:r>
      <w:r w:rsidR="0052485B">
        <w:rPr>
          <w:rFonts w:asciiTheme="minorHAnsi" w:hAnsiTheme="minorHAnsi" w:cstheme="minorHAnsi"/>
          <w:sz w:val="22"/>
          <w:szCs w:val="22"/>
        </w:rPr>
        <w:t>3</w:t>
      </w:r>
      <w:r w:rsidR="007548F4">
        <w:rPr>
          <w:rFonts w:asciiTheme="minorHAnsi" w:hAnsiTheme="minorHAnsi" w:cstheme="minorHAnsi"/>
          <w:sz w:val="22"/>
          <w:szCs w:val="22"/>
        </w:rPr>
        <w:t>/</w:t>
      </w:r>
      <w:r w:rsidR="008A48AE">
        <w:rPr>
          <w:rFonts w:asciiTheme="minorHAnsi" w:hAnsiTheme="minorHAnsi" w:cstheme="minorHAnsi"/>
          <w:sz w:val="22"/>
          <w:szCs w:val="22"/>
        </w:rPr>
        <w:t>≥</w:t>
      </w:r>
      <w:r w:rsidR="008E38C6" w:rsidRPr="008E38C6">
        <w:rPr>
          <w:rFonts w:asciiTheme="minorHAnsi" w:hAnsiTheme="minorHAnsi" w:cstheme="minorHAnsi"/>
          <w:sz w:val="22"/>
          <w:szCs w:val="22"/>
        </w:rPr>
        <w:t>14 years</w:t>
      </w:r>
      <w:r w:rsidR="007548F4">
        <w:rPr>
          <w:rFonts w:asciiTheme="minorHAnsi" w:hAnsiTheme="minorHAnsi" w:cstheme="minorHAnsi"/>
          <w:sz w:val="22"/>
          <w:szCs w:val="22"/>
        </w:rPr>
        <w:t>/u</w:t>
      </w:r>
      <w:r w:rsidR="008E38C6" w:rsidRPr="008E38C6">
        <w:rPr>
          <w:rFonts w:asciiTheme="minorHAnsi" w:hAnsiTheme="minorHAnsi" w:cstheme="minorHAnsi"/>
          <w:sz w:val="22"/>
          <w:szCs w:val="22"/>
        </w:rPr>
        <w:t>nknown</w:t>
      </w:r>
      <w:r w:rsidR="007548F4">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A1092B">
        <w:rPr>
          <w:rFonts w:asciiTheme="minorHAnsi" w:hAnsiTheme="minorHAnsi" w:cstheme="minorHAnsi"/>
          <w:sz w:val="22"/>
          <w:szCs w:val="22"/>
        </w:rPr>
        <w:t>age</w:t>
      </w:r>
      <w:r w:rsidR="00C70321">
        <w:rPr>
          <w:rFonts w:asciiTheme="minorHAnsi" w:hAnsiTheme="minorHAnsi" w:cstheme="minorHAnsi"/>
          <w:sz w:val="22"/>
          <w:szCs w:val="22"/>
        </w:rPr>
        <w:t xml:space="preserve"> started</w:t>
      </w:r>
      <w:r w:rsidR="00713D01" w:rsidRPr="008C37FB">
        <w:rPr>
          <w:rFonts w:asciiTheme="minorHAnsi" w:hAnsiTheme="minorHAnsi" w:cstheme="minorHAnsi"/>
          <w:sz w:val="22"/>
          <w:szCs w:val="22"/>
        </w:rPr>
        <w:t xml:space="preserve"> </w:t>
      </w:r>
      <w:r w:rsidR="00C70321">
        <w:rPr>
          <w:rFonts w:asciiTheme="minorHAnsi" w:hAnsiTheme="minorHAnsi" w:cstheme="minorHAnsi"/>
          <w:sz w:val="22"/>
          <w:szCs w:val="22"/>
        </w:rPr>
        <w:t>using</w:t>
      </w:r>
      <w:r w:rsidR="00C70321"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hormonal birth control</w:t>
      </w:r>
      <w:r w:rsidR="003B464E">
        <w:rPr>
          <w:rFonts w:asciiTheme="minorHAnsi" w:hAnsiTheme="minorHAnsi" w:cstheme="minorHAnsi"/>
          <w:sz w:val="22"/>
          <w:szCs w:val="22"/>
        </w:rPr>
        <w:t xml:space="preserve"> (</w:t>
      </w:r>
      <w:r w:rsidR="00143EB3">
        <w:rPr>
          <w:rFonts w:asciiTheme="minorHAnsi" w:hAnsiTheme="minorHAnsi" w:cstheme="minorHAnsi"/>
          <w:sz w:val="22"/>
          <w:szCs w:val="22"/>
        </w:rPr>
        <w:t xml:space="preserve">categorized as </w:t>
      </w:r>
      <w:r w:rsidR="00694EBB">
        <w:rPr>
          <w:rFonts w:asciiTheme="minorHAnsi" w:hAnsiTheme="minorHAnsi" w:cstheme="minorHAnsi"/>
          <w:sz w:val="22"/>
          <w:szCs w:val="22"/>
        </w:rPr>
        <w:t>never</w:t>
      </w:r>
      <w:r>
        <w:rPr>
          <w:rFonts w:asciiTheme="minorHAnsi" w:hAnsiTheme="minorHAnsi" w:cstheme="minorHAnsi"/>
          <w:sz w:val="22"/>
          <w:szCs w:val="22"/>
        </w:rPr>
        <w:t>/</w:t>
      </w:r>
      <w:r w:rsidR="00694EBB">
        <w:rPr>
          <w:rFonts w:asciiTheme="minorHAnsi" w:hAnsiTheme="minorHAnsi" w:cstheme="minorHAnsi"/>
          <w:sz w:val="22"/>
          <w:szCs w:val="22"/>
        </w:rPr>
        <w:t>ever</w:t>
      </w:r>
      <w:r>
        <w:rPr>
          <w:rFonts w:asciiTheme="minorHAnsi" w:hAnsiTheme="minorHAnsi" w:cstheme="minorHAnsi"/>
          <w:sz w:val="22"/>
          <w:szCs w:val="22"/>
        </w:rPr>
        <w:t xml:space="preserve"> </w:t>
      </w:r>
      <w:r w:rsidR="003B464E" w:rsidRPr="003B464E">
        <w:rPr>
          <w:rFonts w:asciiTheme="minorHAnsi" w:hAnsiTheme="minorHAnsi" w:cstheme="minorHAnsi"/>
          <w:sz w:val="22"/>
          <w:szCs w:val="22"/>
        </w:rPr>
        <w:t xml:space="preserve">before </w:t>
      </w:r>
      <w:r w:rsidR="008A48AE">
        <w:rPr>
          <w:rFonts w:asciiTheme="minorHAnsi" w:hAnsiTheme="minorHAnsi" w:cstheme="minorHAnsi"/>
          <w:sz w:val="22"/>
          <w:szCs w:val="22"/>
        </w:rPr>
        <w:t xml:space="preserve">age </w:t>
      </w:r>
      <w:r w:rsidR="003B464E" w:rsidRPr="003B464E">
        <w:rPr>
          <w:rFonts w:asciiTheme="minorHAnsi" w:hAnsiTheme="minorHAnsi" w:cstheme="minorHAnsi"/>
          <w:sz w:val="22"/>
          <w:szCs w:val="22"/>
        </w:rPr>
        <w:t>20</w:t>
      </w:r>
      <w:r w:rsidR="003B464E">
        <w:rPr>
          <w:rFonts w:asciiTheme="minorHAnsi" w:hAnsiTheme="minorHAnsi" w:cstheme="minorHAnsi"/>
          <w:sz w:val="22"/>
          <w:szCs w:val="22"/>
        </w:rPr>
        <w:t>/u</w:t>
      </w:r>
      <w:r w:rsidR="003B464E" w:rsidRPr="003B464E">
        <w:rPr>
          <w:rFonts w:asciiTheme="minorHAnsi" w:hAnsiTheme="minorHAnsi" w:cstheme="minorHAnsi"/>
          <w:sz w:val="22"/>
          <w:szCs w:val="22"/>
        </w:rPr>
        <w:t>nknown</w:t>
      </w:r>
      <w:r w:rsidR="003B464E">
        <w:rPr>
          <w:rFonts w:asciiTheme="minorHAnsi" w:hAnsiTheme="minorHAnsi" w:cstheme="minorHAnsi"/>
          <w:sz w:val="22"/>
          <w:szCs w:val="22"/>
        </w:rPr>
        <w:t>)</w:t>
      </w:r>
      <w:r w:rsidR="00713D01" w:rsidRPr="008C37FB">
        <w:rPr>
          <w:rFonts w:asciiTheme="minorHAnsi" w:hAnsiTheme="minorHAnsi" w:cstheme="minorHAnsi"/>
          <w:sz w:val="22"/>
          <w:szCs w:val="22"/>
        </w:rPr>
        <w:t>.</w:t>
      </w:r>
      <w:r w:rsidR="00993764">
        <w:rPr>
          <w:rFonts w:asciiTheme="minorHAnsi" w:hAnsiTheme="minorHAnsi" w:cstheme="minorHAnsi"/>
          <w:sz w:val="22"/>
          <w:szCs w:val="22"/>
        </w:rPr>
        <w:t xml:space="preserve"> </w:t>
      </w:r>
      <w:r w:rsidR="00690ECD">
        <w:rPr>
          <w:rFonts w:asciiTheme="minorHAnsi" w:hAnsiTheme="minorHAnsi" w:cstheme="minorHAnsi"/>
          <w:sz w:val="22"/>
          <w:szCs w:val="22"/>
        </w:rPr>
        <w:t xml:space="preserve">Responses </w:t>
      </w:r>
      <w:r>
        <w:rPr>
          <w:rFonts w:asciiTheme="minorHAnsi" w:hAnsiTheme="minorHAnsi" w:cstheme="minorHAnsi"/>
          <w:sz w:val="22"/>
          <w:szCs w:val="22"/>
        </w:rPr>
        <w:t>indicating that</w:t>
      </w:r>
      <w:r w:rsidR="00690ECD">
        <w:rPr>
          <w:rFonts w:asciiTheme="minorHAnsi" w:hAnsiTheme="minorHAnsi" w:cstheme="minorHAnsi"/>
          <w:sz w:val="22"/>
          <w:szCs w:val="22"/>
        </w:rPr>
        <w:t xml:space="preserve"> </w:t>
      </w:r>
      <w:r w:rsidR="008504CA">
        <w:rPr>
          <w:rFonts w:asciiTheme="minorHAnsi" w:hAnsiTheme="minorHAnsi" w:cstheme="minorHAnsi"/>
          <w:sz w:val="22"/>
          <w:szCs w:val="22"/>
        </w:rPr>
        <w:t>a</w:t>
      </w:r>
      <w:r w:rsidR="00403EA9">
        <w:rPr>
          <w:rFonts w:asciiTheme="minorHAnsi" w:hAnsiTheme="minorHAnsi" w:cstheme="minorHAnsi"/>
          <w:sz w:val="22"/>
          <w:szCs w:val="22"/>
        </w:rPr>
        <w:t xml:space="preserve">ge at breast development </w:t>
      </w:r>
      <w:r>
        <w:rPr>
          <w:rFonts w:asciiTheme="minorHAnsi" w:hAnsiTheme="minorHAnsi" w:cstheme="minorHAnsi"/>
          <w:sz w:val="22"/>
          <w:szCs w:val="22"/>
        </w:rPr>
        <w:t xml:space="preserve">or </w:t>
      </w:r>
      <w:r w:rsidR="00993764">
        <w:rPr>
          <w:rFonts w:asciiTheme="minorHAnsi" w:hAnsiTheme="minorHAnsi" w:cstheme="minorHAnsi"/>
          <w:sz w:val="22"/>
          <w:szCs w:val="22"/>
        </w:rPr>
        <w:t>menarche</w:t>
      </w:r>
      <w:r w:rsidR="001F0B93" w:rsidRPr="001F0B93">
        <w:rPr>
          <w:rFonts w:asciiTheme="minorHAnsi" w:hAnsiTheme="minorHAnsi" w:cstheme="minorHAnsi"/>
          <w:sz w:val="22"/>
          <w:szCs w:val="22"/>
        </w:rPr>
        <w:t xml:space="preserve"> </w:t>
      </w:r>
      <w:r>
        <w:rPr>
          <w:rFonts w:asciiTheme="minorHAnsi" w:hAnsiTheme="minorHAnsi" w:cstheme="minorHAnsi"/>
          <w:sz w:val="22"/>
          <w:szCs w:val="22"/>
        </w:rPr>
        <w:t xml:space="preserve">occurred after age </w:t>
      </w:r>
      <w:r w:rsidR="001F0B93" w:rsidRPr="001F0B93">
        <w:rPr>
          <w:rFonts w:asciiTheme="minorHAnsi" w:hAnsiTheme="minorHAnsi" w:cstheme="minorHAnsi"/>
          <w:sz w:val="22"/>
          <w:szCs w:val="22"/>
        </w:rPr>
        <w:t xml:space="preserve">21 </w:t>
      </w:r>
      <w:r w:rsidR="00690ECD">
        <w:rPr>
          <w:rFonts w:asciiTheme="minorHAnsi" w:hAnsiTheme="minorHAnsi" w:cstheme="minorHAnsi"/>
          <w:sz w:val="22"/>
          <w:szCs w:val="22"/>
        </w:rPr>
        <w:t>were</w:t>
      </w:r>
      <w:r w:rsidR="001F0B93" w:rsidRPr="001F0B93">
        <w:rPr>
          <w:rFonts w:asciiTheme="minorHAnsi" w:hAnsiTheme="minorHAnsi" w:cstheme="minorHAnsi"/>
          <w:sz w:val="22"/>
          <w:szCs w:val="22"/>
        </w:rPr>
        <w:t xml:space="preserve"> </w:t>
      </w:r>
      <w:r>
        <w:rPr>
          <w:rFonts w:asciiTheme="minorHAnsi" w:hAnsiTheme="minorHAnsi" w:cstheme="minorHAnsi"/>
          <w:sz w:val="22"/>
          <w:szCs w:val="22"/>
        </w:rPr>
        <w:t>re</w:t>
      </w:r>
      <w:r w:rsidR="006230FB">
        <w:rPr>
          <w:rFonts w:asciiTheme="minorHAnsi" w:hAnsiTheme="minorHAnsi" w:cstheme="minorHAnsi"/>
          <w:sz w:val="22"/>
          <w:szCs w:val="22"/>
        </w:rPr>
        <w:t>assigned</w:t>
      </w:r>
      <w:r w:rsidR="001F0B93" w:rsidRPr="001F0B93">
        <w:rPr>
          <w:rFonts w:asciiTheme="minorHAnsi" w:hAnsiTheme="minorHAnsi" w:cstheme="minorHAnsi"/>
          <w:sz w:val="22"/>
          <w:szCs w:val="22"/>
        </w:rPr>
        <w:t xml:space="preserve"> </w:t>
      </w:r>
      <w:r>
        <w:rPr>
          <w:rFonts w:asciiTheme="minorHAnsi" w:hAnsiTheme="minorHAnsi" w:cstheme="minorHAnsi"/>
          <w:sz w:val="22"/>
          <w:szCs w:val="22"/>
        </w:rPr>
        <w:t>as missing</w:t>
      </w:r>
      <w:r w:rsidR="008A48AE">
        <w:rPr>
          <w:rFonts w:asciiTheme="minorHAnsi" w:hAnsiTheme="minorHAnsi" w:cstheme="minorHAnsi"/>
          <w:sz w:val="22"/>
          <w:szCs w:val="22"/>
        </w:rPr>
        <w:t xml:space="preserve"> values</w:t>
      </w:r>
      <w:r w:rsidR="001D2D6C">
        <w:rPr>
          <w:rFonts w:asciiTheme="minorHAnsi" w:hAnsiTheme="minorHAnsi" w:cstheme="minorHAnsi"/>
          <w:sz w:val="22"/>
          <w:szCs w:val="22"/>
        </w:rPr>
        <w:t xml:space="preserve">. </w:t>
      </w:r>
    </w:p>
    <w:p w14:paraId="51797429" w14:textId="31488DAA" w:rsidR="00C70321"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Lifestyle factors </w:t>
      </w:r>
      <w:r w:rsidR="00760E85">
        <w:rPr>
          <w:rFonts w:asciiTheme="minorHAnsi" w:hAnsiTheme="minorHAnsi" w:cstheme="minorHAnsi"/>
          <w:sz w:val="22"/>
          <w:szCs w:val="22"/>
        </w:rPr>
        <w:t>included</w:t>
      </w:r>
      <w:r w:rsidR="00760E85"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physical activity </w:t>
      </w:r>
      <w:r w:rsidR="00541AC7">
        <w:rPr>
          <w:rFonts w:asciiTheme="minorHAnsi" w:hAnsiTheme="minorHAnsi" w:cstheme="minorHAnsi"/>
          <w:sz w:val="22"/>
          <w:szCs w:val="22"/>
        </w:rPr>
        <w:t>between age</w:t>
      </w:r>
      <w:r w:rsidR="008A48AE">
        <w:rPr>
          <w:rFonts w:asciiTheme="minorHAnsi" w:hAnsiTheme="minorHAnsi" w:cstheme="minorHAnsi"/>
          <w:sz w:val="22"/>
          <w:szCs w:val="22"/>
        </w:rPr>
        <w:t>s</w:t>
      </w:r>
      <w:r w:rsidR="00541AC7">
        <w:rPr>
          <w:rFonts w:asciiTheme="minorHAnsi" w:hAnsiTheme="minorHAnsi" w:cstheme="minorHAnsi"/>
          <w:sz w:val="22"/>
          <w:szCs w:val="22"/>
        </w:rPr>
        <w:t xml:space="preserve"> 5 and</w:t>
      </w:r>
      <w:r w:rsidRPr="008C37FB">
        <w:rPr>
          <w:rFonts w:asciiTheme="minorHAnsi" w:hAnsiTheme="minorHAnsi" w:cstheme="minorHAnsi"/>
          <w:sz w:val="22"/>
          <w:szCs w:val="22"/>
        </w:rPr>
        <w:t xml:space="preserve"> 20 </w:t>
      </w:r>
      <w:r w:rsidR="00E7720E">
        <w:rPr>
          <w:rFonts w:asciiTheme="minorHAnsi" w:hAnsiTheme="minorHAnsi" w:cstheme="minorHAnsi"/>
          <w:sz w:val="22"/>
          <w:szCs w:val="22"/>
        </w:rPr>
        <w:t>measured in a</w:t>
      </w:r>
      <w:r w:rsidR="00E7720E" w:rsidRPr="00143EB3">
        <w:rPr>
          <w:rFonts w:asciiTheme="minorHAnsi" w:hAnsiTheme="minorHAnsi" w:cstheme="minorHAnsi"/>
          <w:sz w:val="22"/>
          <w:szCs w:val="22"/>
        </w:rPr>
        <w:t xml:space="preserve">verage </w:t>
      </w:r>
      <w:r w:rsidR="00F36FE6" w:rsidRPr="00F36FE6">
        <w:rPr>
          <w:rFonts w:asciiTheme="minorHAnsi" w:hAnsiTheme="minorHAnsi" w:cstheme="minorHAnsi"/>
          <w:sz w:val="22"/>
          <w:szCs w:val="22"/>
        </w:rPr>
        <w:t>metabolic equivalent of task</w:t>
      </w:r>
      <w:r w:rsidR="00F36FE6">
        <w:rPr>
          <w:rFonts w:asciiTheme="minorHAnsi" w:hAnsiTheme="minorHAnsi" w:cstheme="minorHAnsi"/>
          <w:sz w:val="22"/>
          <w:szCs w:val="22"/>
        </w:rPr>
        <w:t xml:space="preserve"> (MET)</w:t>
      </w:r>
      <w:r w:rsidR="00E7720E" w:rsidRPr="00143EB3">
        <w:rPr>
          <w:rFonts w:asciiTheme="minorHAnsi" w:hAnsiTheme="minorHAnsi" w:cstheme="minorHAnsi"/>
          <w:sz w:val="22"/>
          <w:szCs w:val="22"/>
        </w:rPr>
        <w:t>-hours</w:t>
      </w:r>
      <w:r w:rsidR="00E7720E">
        <w:rPr>
          <w:rFonts w:asciiTheme="minorHAnsi" w:hAnsiTheme="minorHAnsi" w:cstheme="minorHAnsi"/>
          <w:sz w:val="22"/>
          <w:szCs w:val="22"/>
        </w:rPr>
        <w:t xml:space="preserve"> per </w:t>
      </w:r>
      <w:r w:rsidR="00E7720E" w:rsidRPr="00143EB3">
        <w:rPr>
          <w:rFonts w:asciiTheme="minorHAnsi" w:hAnsiTheme="minorHAnsi" w:cstheme="minorHAnsi"/>
          <w:sz w:val="22"/>
          <w:szCs w:val="22"/>
        </w:rPr>
        <w:t>week</w:t>
      </w:r>
      <w:r w:rsidR="00E7720E" w:rsidRPr="008C37FB">
        <w:rPr>
          <w:rFonts w:asciiTheme="minorHAnsi" w:hAnsiTheme="minorHAnsi" w:cstheme="minorHAnsi"/>
          <w:sz w:val="22"/>
          <w:szCs w:val="22"/>
        </w:rPr>
        <w:t xml:space="preserve"> </w:t>
      </w:r>
      <w:r w:rsidRPr="008C37FB">
        <w:rPr>
          <w:rFonts w:asciiTheme="minorHAnsi" w:hAnsiTheme="minorHAnsi" w:cstheme="minorHAnsi"/>
          <w:sz w:val="22"/>
          <w:szCs w:val="22"/>
        </w:rPr>
        <w:t>(</w:t>
      </w:r>
      <w:r w:rsidR="00E7720E">
        <w:rPr>
          <w:rFonts w:asciiTheme="minorHAnsi" w:hAnsiTheme="minorHAnsi" w:cstheme="minorHAnsi"/>
          <w:sz w:val="22"/>
          <w:szCs w:val="22"/>
        </w:rPr>
        <w:t xml:space="preserve">continuous, categorized as </w:t>
      </w:r>
      <w:r w:rsidR="008A48AE">
        <w:rPr>
          <w:rFonts w:asciiTheme="minorHAnsi" w:hAnsiTheme="minorHAnsi" w:cstheme="minorHAnsi"/>
          <w:sz w:val="22"/>
          <w:szCs w:val="22"/>
        </w:rPr>
        <w:t>&lt;</w:t>
      </w:r>
      <w:r w:rsidR="00E7720E" w:rsidRPr="009D0BD2">
        <w:rPr>
          <w:rFonts w:asciiTheme="minorHAnsi" w:hAnsiTheme="minorHAnsi" w:cstheme="minorHAnsi"/>
          <w:sz w:val="22"/>
          <w:szCs w:val="22"/>
        </w:rPr>
        <w:t>21</w:t>
      </w:r>
      <w:r w:rsidR="00AB6D8D">
        <w:rPr>
          <w:rFonts w:asciiTheme="minorHAnsi" w:hAnsiTheme="minorHAnsi" w:cstheme="minorHAnsi"/>
          <w:sz w:val="22"/>
          <w:szCs w:val="22"/>
        </w:rPr>
        <w:t>/</w:t>
      </w:r>
      <w:r w:rsidR="00E7720E" w:rsidRPr="009D0BD2">
        <w:rPr>
          <w:rFonts w:asciiTheme="minorHAnsi" w:hAnsiTheme="minorHAnsi" w:cstheme="minorHAnsi"/>
          <w:sz w:val="22"/>
          <w:szCs w:val="22"/>
        </w:rPr>
        <w:t>21-&lt;42</w:t>
      </w:r>
      <w:r w:rsidR="00AB6D8D">
        <w:rPr>
          <w:rFonts w:asciiTheme="minorHAnsi" w:hAnsiTheme="minorHAnsi" w:cstheme="minorHAnsi"/>
          <w:sz w:val="22"/>
          <w:szCs w:val="22"/>
        </w:rPr>
        <w:t>/</w:t>
      </w:r>
      <w:r w:rsidR="008A48AE">
        <w:rPr>
          <w:rFonts w:asciiTheme="minorHAnsi" w:hAnsiTheme="minorHAnsi" w:cstheme="minorHAnsi"/>
          <w:sz w:val="22"/>
          <w:szCs w:val="22"/>
        </w:rPr>
        <w:t>≥</w:t>
      </w:r>
      <w:r w:rsidR="00E7720E" w:rsidRPr="009D0BD2">
        <w:rPr>
          <w:rFonts w:asciiTheme="minorHAnsi" w:hAnsiTheme="minorHAnsi" w:cstheme="minorHAnsi"/>
          <w:sz w:val="22"/>
          <w:szCs w:val="22"/>
        </w:rPr>
        <w:t>42 MET-hours</w:t>
      </w:r>
      <w:r w:rsidR="00AB6D8D">
        <w:rPr>
          <w:rFonts w:asciiTheme="minorHAnsi" w:hAnsiTheme="minorHAnsi" w:cstheme="minorHAnsi"/>
          <w:sz w:val="22"/>
          <w:szCs w:val="22"/>
        </w:rPr>
        <w:t>/</w:t>
      </w:r>
      <w:r w:rsidR="00E7720E">
        <w:rPr>
          <w:rFonts w:asciiTheme="minorHAnsi" w:hAnsiTheme="minorHAnsi" w:cstheme="minorHAnsi"/>
          <w:sz w:val="22"/>
          <w:szCs w:val="22"/>
        </w:rPr>
        <w:t>u</w:t>
      </w:r>
      <w:r w:rsidR="00E7720E" w:rsidRPr="009D0BD2">
        <w:rPr>
          <w:rFonts w:asciiTheme="minorHAnsi" w:hAnsiTheme="minorHAnsi" w:cstheme="minorHAnsi"/>
          <w:sz w:val="22"/>
          <w:szCs w:val="22"/>
        </w:rPr>
        <w:t>nknown</w:t>
      </w:r>
      <w:r w:rsidR="00E7720E">
        <w:rPr>
          <w:rFonts w:asciiTheme="minorHAnsi" w:hAnsiTheme="minorHAnsi" w:cstheme="minorHAnsi"/>
          <w:sz w:val="22"/>
          <w:szCs w:val="22"/>
        </w:rPr>
        <w:t xml:space="preserve">; </w:t>
      </w:r>
      <w:r w:rsidR="00595128">
        <w:rPr>
          <w:rFonts w:asciiTheme="minorHAnsi" w:hAnsiTheme="minorHAnsi" w:cstheme="minorHAnsi"/>
          <w:sz w:val="22"/>
          <w:szCs w:val="22"/>
        </w:rPr>
        <w:t xml:space="preserve">calculated </w:t>
      </w:r>
      <w:r w:rsidR="00E7720E">
        <w:rPr>
          <w:rFonts w:asciiTheme="minorHAnsi" w:hAnsiTheme="minorHAnsi" w:cstheme="minorHAnsi"/>
          <w:sz w:val="22"/>
          <w:szCs w:val="22"/>
        </w:rPr>
        <w:t xml:space="preserve">based on the reported average weekly hours of </w:t>
      </w:r>
      <w:r w:rsidR="00E7720E" w:rsidRPr="00143EB3">
        <w:rPr>
          <w:rFonts w:asciiTheme="minorHAnsi" w:hAnsiTheme="minorHAnsi" w:cstheme="minorHAnsi"/>
          <w:sz w:val="22"/>
          <w:szCs w:val="22"/>
        </w:rPr>
        <w:t>sports/exercise activities done at least once a week for two or more months</w:t>
      </w:r>
      <w:r w:rsidRPr="008C37FB">
        <w:rPr>
          <w:rFonts w:asciiTheme="minorHAnsi" w:hAnsiTheme="minorHAnsi" w:cstheme="minorHAnsi"/>
          <w:sz w:val="22"/>
          <w:szCs w:val="22"/>
        </w:rPr>
        <w:t>)</w:t>
      </w:r>
      <w:r w:rsidR="000A1775">
        <w:rPr>
          <w:rFonts w:asciiTheme="minorHAnsi" w:hAnsiTheme="minorHAnsi" w:cstheme="minorHAnsi"/>
          <w:sz w:val="22"/>
          <w:szCs w:val="22"/>
        </w:rPr>
        <w:t>,</w:t>
      </w:r>
      <w:r w:rsidR="000A1775">
        <w:rPr>
          <w:rFonts w:asciiTheme="minorHAnsi" w:hAnsiTheme="minorHAnsi" w:cstheme="minorHAnsi"/>
          <w:sz w:val="22"/>
          <w:szCs w:val="22"/>
        </w:rPr>
        <w:fldChar w:fldCharType="begin">
          <w:fldData xml:space="preserve">PEVuZE5vdGU+PENpdGU+PEF1dGhvcj5OaWVob2ZmPC9BdXRob3I+PFllYXI+MjAxNzwvWWVhcj48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=
</w:fldData>
        </w:fldChar>
      </w:r>
      <w:r w:rsidR="000A1775">
        <w:rPr>
          <w:rFonts w:asciiTheme="minorHAnsi" w:hAnsiTheme="minorHAnsi" w:cstheme="minorHAnsi"/>
          <w:sz w:val="22"/>
          <w:szCs w:val="22"/>
        </w:rPr>
        <w:instrText xml:space="preserve"> ADDIN EN.CITE </w:instrText>
      </w:r>
      <w:r w:rsidR="000A1775">
        <w:rPr>
          <w:rFonts w:asciiTheme="minorHAnsi" w:hAnsiTheme="minorHAnsi" w:cstheme="minorHAnsi"/>
          <w:sz w:val="22"/>
          <w:szCs w:val="22"/>
        </w:rPr>
        <w:fldChar w:fldCharType="begin">
          <w:fldData xml:space="preserve">PEVuZE5vdGU+PENpdGU+PEF1dGhvcj5OaWVob2ZmPC9BdXRob3I+PFllYXI+MjAxNzwvWWVhcj48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=
</w:fldData>
        </w:fldChar>
      </w:r>
      <w:r w:rsidR="000A1775">
        <w:rPr>
          <w:rFonts w:asciiTheme="minorHAnsi" w:hAnsiTheme="minorHAnsi" w:cstheme="minorHAnsi"/>
          <w:sz w:val="22"/>
          <w:szCs w:val="22"/>
        </w:rPr>
        <w:instrText xml:space="preserve"> ADDIN EN.CITE.DATA </w:instrText>
      </w:r>
      <w:r w:rsidR="000A1775">
        <w:rPr>
          <w:rFonts w:asciiTheme="minorHAnsi" w:hAnsiTheme="minorHAnsi" w:cstheme="minorHAnsi"/>
          <w:sz w:val="22"/>
          <w:szCs w:val="22"/>
        </w:rPr>
      </w:r>
      <w:r w:rsidR="000A1775">
        <w:rPr>
          <w:rFonts w:asciiTheme="minorHAnsi" w:hAnsiTheme="minorHAnsi" w:cstheme="minorHAnsi"/>
          <w:sz w:val="22"/>
          <w:szCs w:val="22"/>
        </w:rPr>
        <w:fldChar w:fldCharType="end"/>
      </w:r>
      <w:r w:rsidR="000A1775">
        <w:rPr>
          <w:rFonts w:asciiTheme="minorHAnsi" w:hAnsiTheme="minorHAnsi" w:cstheme="minorHAnsi"/>
          <w:sz w:val="22"/>
          <w:szCs w:val="22"/>
        </w:rPr>
      </w:r>
      <w:r w:rsidR="000A1775">
        <w:rPr>
          <w:rFonts w:asciiTheme="minorHAnsi" w:hAnsiTheme="minorHAnsi" w:cstheme="minorHAnsi"/>
          <w:sz w:val="22"/>
          <w:szCs w:val="22"/>
        </w:rPr>
        <w:fldChar w:fldCharType="separate"/>
      </w:r>
      <w:r w:rsidR="000A1775" w:rsidRPr="000A1775">
        <w:rPr>
          <w:rFonts w:asciiTheme="minorHAnsi" w:hAnsiTheme="minorHAnsi" w:cstheme="minorHAnsi"/>
          <w:noProof/>
          <w:sz w:val="22"/>
          <w:szCs w:val="22"/>
          <w:vertAlign w:val="superscript"/>
        </w:rPr>
        <w:t>31</w:t>
      </w:r>
      <w:r w:rsidR="000A1775">
        <w:rPr>
          <w:rFonts w:asciiTheme="minorHAnsi" w:hAnsiTheme="minorHAnsi" w:cstheme="minorHAnsi"/>
          <w:sz w:val="22"/>
          <w:szCs w:val="22"/>
        </w:rPr>
        <w:fldChar w:fldCharType="end"/>
      </w:r>
      <w:r w:rsidRPr="008C37FB">
        <w:rPr>
          <w:rFonts w:asciiTheme="minorHAnsi" w:hAnsiTheme="minorHAnsi" w:cstheme="minorHAnsi"/>
          <w:sz w:val="22"/>
          <w:szCs w:val="22"/>
        </w:rPr>
        <w:t xml:space="preserve"> age started drinking regularly</w:t>
      </w:r>
      <w:r w:rsidR="00FC1F40">
        <w:rPr>
          <w:rFonts w:asciiTheme="minorHAnsi" w:hAnsiTheme="minorHAnsi" w:cstheme="minorHAnsi"/>
          <w:sz w:val="22"/>
          <w:szCs w:val="22"/>
        </w:rPr>
        <w:t xml:space="preserve"> (n</w:t>
      </w:r>
      <w:r w:rsidR="00FC1F40" w:rsidRPr="00FC1F40">
        <w:rPr>
          <w:rFonts w:asciiTheme="minorHAnsi" w:hAnsiTheme="minorHAnsi" w:cstheme="minorHAnsi"/>
          <w:sz w:val="22"/>
          <w:szCs w:val="22"/>
        </w:rPr>
        <w:t>ever</w:t>
      </w:r>
      <w:r w:rsidR="00AB6D8D">
        <w:rPr>
          <w:rFonts w:asciiTheme="minorHAnsi" w:hAnsiTheme="minorHAnsi" w:cstheme="minorHAnsi"/>
          <w:sz w:val="22"/>
          <w:szCs w:val="22"/>
        </w:rPr>
        <w:t xml:space="preserve">/ever </w:t>
      </w:r>
      <w:r w:rsidR="00900C41">
        <w:rPr>
          <w:rFonts w:asciiTheme="minorHAnsi" w:hAnsiTheme="minorHAnsi" w:cstheme="minorHAnsi"/>
          <w:sz w:val="22"/>
          <w:szCs w:val="22"/>
        </w:rPr>
        <w:t>b</w:t>
      </w:r>
      <w:r w:rsidR="00FC1F40" w:rsidRPr="00FC1F40">
        <w:rPr>
          <w:rFonts w:asciiTheme="minorHAnsi" w:hAnsiTheme="minorHAnsi" w:cstheme="minorHAnsi"/>
          <w:sz w:val="22"/>
          <w:szCs w:val="22"/>
        </w:rPr>
        <w:t xml:space="preserve">efore </w:t>
      </w:r>
      <w:r w:rsidR="008A48AE">
        <w:rPr>
          <w:rFonts w:asciiTheme="minorHAnsi" w:hAnsiTheme="minorHAnsi" w:cstheme="minorHAnsi"/>
          <w:sz w:val="22"/>
          <w:szCs w:val="22"/>
        </w:rPr>
        <w:t xml:space="preserve">age </w:t>
      </w:r>
      <w:r w:rsidR="00FC1F40" w:rsidRPr="00FC1F40">
        <w:rPr>
          <w:rFonts w:asciiTheme="minorHAnsi" w:hAnsiTheme="minorHAnsi" w:cstheme="minorHAnsi"/>
          <w:sz w:val="22"/>
          <w:szCs w:val="22"/>
        </w:rPr>
        <w:t>20</w:t>
      </w:r>
      <w:r w:rsidR="00900C41">
        <w:rPr>
          <w:rFonts w:asciiTheme="minorHAnsi" w:hAnsiTheme="minorHAnsi" w:cstheme="minorHAnsi"/>
          <w:sz w:val="22"/>
          <w:szCs w:val="22"/>
        </w:rPr>
        <w:t>/u</w:t>
      </w:r>
      <w:r w:rsidR="00FC1F40" w:rsidRPr="00FC1F40">
        <w:rPr>
          <w:rFonts w:asciiTheme="minorHAnsi" w:hAnsiTheme="minorHAnsi" w:cstheme="minorHAnsi"/>
          <w:sz w:val="22"/>
          <w:szCs w:val="22"/>
        </w:rPr>
        <w:t>nknown</w:t>
      </w:r>
      <w:r w:rsidR="00FC1F40">
        <w:rPr>
          <w:rFonts w:asciiTheme="minorHAnsi" w:hAnsiTheme="minorHAnsi" w:cstheme="minorHAnsi"/>
          <w:sz w:val="22"/>
          <w:szCs w:val="22"/>
        </w:rPr>
        <w:t>)</w:t>
      </w:r>
      <w:r w:rsidRPr="008C37FB">
        <w:rPr>
          <w:rFonts w:asciiTheme="minorHAnsi" w:hAnsiTheme="minorHAnsi" w:cstheme="minorHAnsi"/>
          <w:sz w:val="22"/>
          <w:szCs w:val="22"/>
        </w:rPr>
        <w:t xml:space="preserve">, </w:t>
      </w:r>
      <w:r w:rsidR="008A48AE">
        <w:rPr>
          <w:rFonts w:asciiTheme="minorHAnsi" w:hAnsiTheme="minorHAnsi" w:cstheme="minorHAnsi"/>
          <w:sz w:val="22"/>
          <w:szCs w:val="22"/>
        </w:rPr>
        <w:t xml:space="preserve">average </w:t>
      </w:r>
      <w:r w:rsidR="00B152AC">
        <w:rPr>
          <w:rFonts w:asciiTheme="minorHAnsi" w:hAnsiTheme="minorHAnsi" w:cstheme="minorHAnsi"/>
          <w:sz w:val="22"/>
          <w:szCs w:val="22"/>
        </w:rPr>
        <w:t xml:space="preserve">number of </w:t>
      </w:r>
      <w:r w:rsidR="00B152AC" w:rsidRPr="00B152AC">
        <w:rPr>
          <w:rFonts w:asciiTheme="minorHAnsi" w:hAnsiTheme="minorHAnsi" w:cstheme="minorHAnsi"/>
          <w:sz w:val="22"/>
          <w:szCs w:val="22"/>
        </w:rPr>
        <w:t>drinks per year</w:t>
      </w:r>
      <w:r w:rsidR="000B2CDD">
        <w:rPr>
          <w:rFonts w:asciiTheme="minorHAnsi" w:hAnsiTheme="minorHAnsi" w:cstheme="minorHAnsi"/>
          <w:sz w:val="22"/>
          <w:szCs w:val="22"/>
        </w:rPr>
        <w:t xml:space="preserve"> </w:t>
      </w:r>
      <w:r w:rsidR="000B2CDD" w:rsidRPr="003503C6">
        <w:rPr>
          <w:rFonts w:asciiTheme="minorHAnsi" w:hAnsiTheme="minorHAnsi" w:cstheme="minorHAnsi"/>
          <w:sz w:val="22"/>
          <w:szCs w:val="22"/>
        </w:rPr>
        <w:t xml:space="preserve">in the years </w:t>
      </w:r>
      <w:r w:rsidR="00AB6D8D">
        <w:rPr>
          <w:rFonts w:asciiTheme="minorHAnsi" w:hAnsiTheme="minorHAnsi" w:cstheme="minorHAnsi"/>
          <w:sz w:val="22"/>
          <w:szCs w:val="22"/>
        </w:rPr>
        <w:t>drinking regularly</w:t>
      </w:r>
      <w:r w:rsidR="00AB6D8D" w:rsidRPr="003503C6">
        <w:rPr>
          <w:rFonts w:asciiTheme="minorHAnsi" w:hAnsiTheme="minorHAnsi" w:cstheme="minorHAnsi"/>
          <w:sz w:val="22"/>
          <w:szCs w:val="22"/>
        </w:rPr>
        <w:t xml:space="preserve"> </w:t>
      </w:r>
      <w:r w:rsidR="008A48AE">
        <w:rPr>
          <w:rFonts w:asciiTheme="minorHAnsi" w:hAnsiTheme="minorHAnsi" w:cstheme="minorHAnsi"/>
          <w:sz w:val="22"/>
          <w:szCs w:val="22"/>
        </w:rPr>
        <w:t>before age</w:t>
      </w:r>
      <w:r w:rsidR="000B2CDD" w:rsidRPr="003503C6">
        <w:rPr>
          <w:rFonts w:asciiTheme="minorHAnsi" w:hAnsiTheme="minorHAnsi" w:cstheme="minorHAnsi"/>
          <w:sz w:val="22"/>
          <w:szCs w:val="22"/>
        </w:rPr>
        <w:t xml:space="preserve"> </w:t>
      </w:r>
      <w:r w:rsidRPr="008C37FB">
        <w:rPr>
          <w:rFonts w:asciiTheme="minorHAnsi" w:hAnsiTheme="minorHAnsi" w:cstheme="minorHAnsi"/>
          <w:sz w:val="22"/>
          <w:szCs w:val="22"/>
        </w:rPr>
        <w:t>20</w:t>
      </w:r>
      <w:r w:rsidR="00E030B3">
        <w:rPr>
          <w:rFonts w:asciiTheme="minorHAnsi" w:hAnsiTheme="minorHAnsi" w:cstheme="minorHAnsi"/>
          <w:sz w:val="22"/>
          <w:szCs w:val="22"/>
        </w:rPr>
        <w:t xml:space="preserve"> (</w:t>
      </w:r>
      <w:r w:rsidR="00E030B3" w:rsidRPr="00E030B3">
        <w:rPr>
          <w:rFonts w:asciiTheme="minorHAnsi" w:hAnsiTheme="minorHAnsi" w:cstheme="minorHAnsi"/>
          <w:sz w:val="22"/>
          <w:szCs w:val="22"/>
        </w:rPr>
        <w:t>0</w:t>
      </w:r>
      <w:r w:rsidR="00AB6D8D">
        <w:rPr>
          <w:rFonts w:asciiTheme="minorHAnsi" w:hAnsiTheme="minorHAnsi" w:cstheme="minorHAnsi"/>
          <w:sz w:val="22"/>
          <w:szCs w:val="22"/>
        </w:rPr>
        <w:t>/&lt;</w:t>
      </w:r>
      <w:r w:rsidR="00E030B3" w:rsidRPr="00E030B3">
        <w:rPr>
          <w:rFonts w:asciiTheme="minorHAnsi" w:hAnsiTheme="minorHAnsi" w:cstheme="minorHAnsi"/>
          <w:sz w:val="22"/>
          <w:szCs w:val="22"/>
        </w:rPr>
        <w:t>60</w:t>
      </w:r>
      <w:r w:rsidR="00AB6D8D">
        <w:rPr>
          <w:rFonts w:asciiTheme="minorHAnsi" w:hAnsiTheme="minorHAnsi" w:cstheme="minorHAnsi"/>
          <w:sz w:val="22"/>
          <w:szCs w:val="22"/>
        </w:rPr>
        <w:t>/</w:t>
      </w:r>
      <w:r w:rsidR="00E030B3" w:rsidRPr="00E030B3">
        <w:rPr>
          <w:rFonts w:asciiTheme="minorHAnsi" w:hAnsiTheme="minorHAnsi" w:cstheme="minorHAnsi"/>
          <w:sz w:val="22"/>
          <w:szCs w:val="22"/>
        </w:rPr>
        <w:t>60-229</w:t>
      </w:r>
      <w:r w:rsidR="00AB6D8D">
        <w:rPr>
          <w:rFonts w:asciiTheme="minorHAnsi" w:hAnsiTheme="minorHAnsi" w:cstheme="minorHAnsi"/>
          <w:sz w:val="22"/>
          <w:szCs w:val="22"/>
        </w:rPr>
        <w:t>/</w:t>
      </w:r>
      <w:r w:rsidR="008A48AE">
        <w:rPr>
          <w:rFonts w:asciiTheme="minorHAnsi" w:hAnsiTheme="minorHAnsi" w:cstheme="minorHAnsi"/>
          <w:sz w:val="22"/>
          <w:szCs w:val="22"/>
        </w:rPr>
        <w:t>≥</w:t>
      </w:r>
      <w:r w:rsidR="00E030B3" w:rsidRPr="00E030B3">
        <w:rPr>
          <w:rFonts w:asciiTheme="minorHAnsi" w:hAnsiTheme="minorHAnsi" w:cstheme="minorHAnsi"/>
          <w:sz w:val="22"/>
          <w:szCs w:val="22"/>
        </w:rPr>
        <w:t>230 drinks</w:t>
      </w:r>
      <w:r w:rsidR="00AB6D8D">
        <w:rPr>
          <w:rFonts w:asciiTheme="minorHAnsi" w:hAnsiTheme="minorHAnsi" w:cstheme="minorHAnsi"/>
          <w:sz w:val="22"/>
          <w:szCs w:val="22"/>
        </w:rPr>
        <w:t>/</w:t>
      </w:r>
      <w:r w:rsidR="001B0D04">
        <w:rPr>
          <w:rFonts w:asciiTheme="minorHAnsi" w:hAnsiTheme="minorHAnsi" w:cstheme="minorHAnsi"/>
          <w:sz w:val="22"/>
          <w:szCs w:val="22"/>
        </w:rPr>
        <w:t>u</w:t>
      </w:r>
      <w:r w:rsidR="00E030B3" w:rsidRPr="00E030B3">
        <w:rPr>
          <w:rFonts w:asciiTheme="minorHAnsi" w:hAnsiTheme="minorHAnsi" w:cstheme="minorHAnsi"/>
          <w:sz w:val="22"/>
          <w:szCs w:val="22"/>
        </w:rPr>
        <w:t>nknown</w:t>
      </w:r>
      <w:r w:rsidR="00EF7290">
        <w:rPr>
          <w:rFonts w:asciiTheme="minorHAnsi" w:hAnsiTheme="minorHAnsi" w:cstheme="minorHAnsi"/>
          <w:sz w:val="22"/>
          <w:szCs w:val="22"/>
        </w:rPr>
        <w:t xml:space="preserve">; calculated based on reported average </w:t>
      </w:r>
      <w:r w:rsidR="00CC14E4">
        <w:rPr>
          <w:rFonts w:asciiTheme="minorHAnsi" w:hAnsiTheme="minorHAnsi" w:cstheme="minorHAnsi"/>
          <w:sz w:val="22"/>
          <w:szCs w:val="22"/>
        </w:rPr>
        <w:t>drinks per week</w:t>
      </w:r>
      <w:r w:rsidR="00E030B3">
        <w:rPr>
          <w:rFonts w:asciiTheme="minorHAnsi" w:hAnsiTheme="minorHAnsi" w:cstheme="minorHAnsi"/>
          <w:sz w:val="22"/>
          <w:szCs w:val="22"/>
        </w:rPr>
        <w:t>)</w:t>
      </w:r>
      <w:r w:rsidRPr="008C37FB">
        <w:rPr>
          <w:rFonts w:asciiTheme="minorHAnsi" w:hAnsiTheme="minorHAnsi" w:cstheme="minorHAnsi"/>
          <w:sz w:val="22"/>
          <w:szCs w:val="22"/>
        </w:rPr>
        <w:t>,</w:t>
      </w:r>
      <w:r w:rsidR="00C42706">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 ExcludeAuth="1" ExcludeYear="1"&gt;&lt;RecNum&gt;452&lt;/RecNum&gt;&lt;DisplayText&gt;&lt;style face="superscript"&gt;32&lt;/style&gt;&lt;/DisplayText&gt;&lt;record&gt;&lt;rec-number&gt;452&lt;/rec-number&gt;&lt;foreign-keys&gt;&lt;key app="EN" db-id="9eeeap9akwrsete9ft3xp2puxwwrw9ev5fd0" timestamp="1725304286"&gt;452&lt;/key&gt;&lt;/foreign-keys&gt;&lt;ref-type name="Web Page"&gt;12&lt;/ref-type&gt;&lt;contributors&gt;&lt;/contributors&gt;&lt;titles&gt;&lt;title&gt;The Sister Study baseline data collection, section: Alcohol&lt;/title&gt;&lt;/titles&gt;&lt;number&gt;September 2, 2024&lt;/number&gt;&lt;dates&gt;&lt;/dates&gt;&lt;urls&gt;&lt;related-urls&gt;&lt;url&gt;https://sisterstudy.niehs.nih.gov/English/images/docs/Sec%20AL_Alcohol_v2.08_acc.pdf&lt;/url&gt;&lt;/related-urls&gt;&lt;/urls&gt;&lt;/record&gt;&lt;/Cite&gt;&lt;/EndNote&gt;</w:instrText>
      </w:r>
      <w:r w:rsidR="00C4270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32</w:t>
      </w:r>
      <w:r w:rsidR="00C42706">
        <w:rPr>
          <w:rFonts w:asciiTheme="minorHAnsi" w:hAnsiTheme="minorHAnsi" w:cstheme="minorHAnsi"/>
          <w:sz w:val="22"/>
          <w:szCs w:val="22"/>
        </w:rPr>
        <w:fldChar w:fldCharType="end"/>
      </w:r>
      <w:r w:rsidRPr="008C37FB">
        <w:rPr>
          <w:rFonts w:asciiTheme="minorHAnsi" w:hAnsiTheme="minorHAnsi" w:cstheme="minorHAnsi"/>
          <w:sz w:val="22"/>
          <w:szCs w:val="22"/>
        </w:rPr>
        <w:t xml:space="preserve"> age started smoking</w:t>
      </w:r>
      <w:r w:rsidR="003B3344">
        <w:rPr>
          <w:rFonts w:asciiTheme="minorHAnsi" w:hAnsiTheme="minorHAnsi" w:cstheme="minorHAnsi"/>
          <w:sz w:val="22"/>
          <w:szCs w:val="22"/>
        </w:rPr>
        <w:t xml:space="preserve"> (</w:t>
      </w:r>
      <w:r w:rsidR="00FB3448">
        <w:rPr>
          <w:rFonts w:asciiTheme="minorHAnsi" w:hAnsiTheme="minorHAnsi" w:cstheme="minorHAnsi"/>
          <w:sz w:val="22"/>
          <w:szCs w:val="22"/>
        </w:rPr>
        <w:t>n</w:t>
      </w:r>
      <w:r w:rsidR="003B3344" w:rsidRPr="003B3344">
        <w:rPr>
          <w:rFonts w:asciiTheme="minorHAnsi" w:hAnsiTheme="minorHAnsi" w:cstheme="minorHAnsi"/>
          <w:sz w:val="22"/>
          <w:szCs w:val="22"/>
        </w:rPr>
        <w:t>ever</w:t>
      </w:r>
      <w:r w:rsidR="00AB6D8D">
        <w:rPr>
          <w:rFonts w:asciiTheme="minorHAnsi" w:hAnsiTheme="minorHAnsi" w:cstheme="minorHAnsi"/>
          <w:sz w:val="22"/>
          <w:szCs w:val="22"/>
        </w:rPr>
        <w:t>/ever before age 2</w:t>
      </w:r>
      <w:r w:rsidR="003B3344" w:rsidRPr="003B3344">
        <w:rPr>
          <w:rFonts w:asciiTheme="minorHAnsi" w:hAnsiTheme="minorHAnsi" w:cstheme="minorHAnsi"/>
          <w:sz w:val="22"/>
          <w:szCs w:val="22"/>
        </w:rPr>
        <w:t>0</w:t>
      </w:r>
      <w:r w:rsidR="00974E7B">
        <w:rPr>
          <w:rFonts w:asciiTheme="minorHAnsi" w:hAnsiTheme="minorHAnsi" w:cstheme="minorHAnsi"/>
          <w:sz w:val="22"/>
          <w:szCs w:val="22"/>
        </w:rPr>
        <w:t>/u</w:t>
      </w:r>
      <w:r w:rsidR="003B3344" w:rsidRPr="003B3344">
        <w:rPr>
          <w:rFonts w:asciiTheme="minorHAnsi" w:hAnsiTheme="minorHAnsi" w:cstheme="minorHAnsi"/>
          <w:sz w:val="22"/>
          <w:szCs w:val="22"/>
        </w:rPr>
        <w:t>nknown</w:t>
      </w:r>
      <w:r w:rsidR="003B3344">
        <w:rPr>
          <w:rFonts w:asciiTheme="minorHAnsi" w:hAnsiTheme="minorHAnsi" w:cstheme="minorHAnsi"/>
          <w:sz w:val="22"/>
          <w:szCs w:val="22"/>
        </w:rPr>
        <w:t>)</w:t>
      </w:r>
      <w:r w:rsidRPr="008C37FB">
        <w:rPr>
          <w:rFonts w:asciiTheme="minorHAnsi" w:hAnsiTheme="minorHAnsi" w:cstheme="minorHAnsi"/>
          <w:sz w:val="22"/>
          <w:szCs w:val="22"/>
        </w:rPr>
        <w:t xml:space="preserve">, </w:t>
      </w:r>
      <w:r w:rsidR="009F71B6">
        <w:rPr>
          <w:rFonts w:asciiTheme="minorHAnsi" w:hAnsiTheme="minorHAnsi" w:cstheme="minorHAnsi"/>
          <w:sz w:val="22"/>
          <w:szCs w:val="22"/>
        </w:rPr>
        <w:t xml:space="preserve">number of pack-years </w:t>
      </w:r>
      <w:r w:rsidR="008A48AE">
        <w:rPr>
          <w:rFonts w:asciiTheme="minorHAnsi" w:hAnsiTheme="minorHAnsi" w:cstheme="minorHAnsi"/>
          <w:sz w:val="22"/>
          <w:szCs w:val="22"/>
        </w:rPr>
        <w:t>before age</w:t>
      </w:r>
      <w:r w:rsidR="009F71B6">
        <w:rPr>
          <w:rFonts w:asciiTheme="minorHAnsi" w:hAnsiTheme="minorHAnsi" w:cstheme="minorHAnsi"/>
          <w:sz w:val="22"/>
          <w:szCs w:val="22"/>
        </w:rPr>
        <w:t xml:space="preserve"> 20</w:t>
      </w:r>
      <w:r w:rsidR="002D5194">
        <w:rPr>
          <w:rFonts w:asciiTheme="minorHAnsi" w:hAnsiTheme="minorHAnsi" w:cstheme="minorHAnsi"/>
          <w:sz w:val="22"/>
          <w:szCs w:val="22"/>
        </w:rPr>
        <w:t xml:space="preserve"> (</w:t>
      </w:r>
      <w:r w:rsidR="00AB6D8D">
        <w:rPr>
          <w:rFonts w:asciiTheme="minorHAnsi" w:hAnsiTheme="minorHAnsi" w:cstheme="minorHAnsi"/>
          <w:sz w:val="22"/>
          <w:szCs w:val="22"/>
        </w:rPr>
        <w:t>≤</w:t>
      </w:r>
      <w:r w:rsidR="00C17BBD">
        <w:rPr>
          <w:rFonts w:asciiTheme="minorHAnsi" w:hAnsiTheme="minorHAnsi" w:cstheme="minorHAnsi"/>
          <w:sz w:val="22"/>
          <w:szCs w:val="22"/>
        </w:rPr>
        <w:t>5</w:t>
      </w:r>
      <w:r w:rsidR="00AB6D8D">
        <w:rPr>
          <w:rFonts w:asciiTheme="minorHAnsi" w:hAnsiTheme="minorHAnsi" w:cstheme="minorHAnsi"/>
          <w:sz w:val="22"/>
          <w:szCs w:val="22"/>
        </w:rPr>
        <w:t>/&gt;</w:t>
      </w:r>
      <w:r w:rsidR="0088389D">
        <w:rPr>
          <w:rFonts w:asciiTheme="minorHAnsi" w:hAnsiTheme="minorHAnsi" w:cstheme="minorHAnsi"/>
          <w:sz w:val="22"/>
          <w:szCs w:val="22"/>
        </w:rPr>
        <w:t>5 pack-years</w:t>
      </w:r>
      <w:r w:rsidR="002D5194">
        <w:rPr>
          <w:rFonts w:asciiTheme="minorHAnsi" w:hAnsiTheme="minorHAnsi" w:cstheme="minorHAnsi"/>
          <w:sz w:val="22"/>
          <w:szCs w:val="22"/>
        </w:rPr>
        <w:t>)</w:t>
      </w:r>
      <w:r w:rsidRPr="008C37FB">
        <w:rPr>
          <w:rFonts w:asciiTheme="minorHAnsi" w:hAnsiTheme="minorHAnsi" w:cstheme="minorHAnsi"/>
          <w:sz w:val="22"/>
          <w:szCs w:val="22"/>
        </w:rPr>
        <w:t xml:space="preserve">, and total years of secondhand smoking under </w:t>
      </w:r>
      <w:r w:rsidR="00811CBB">
        <w:rPr>
          <w:rFonts w:asciiTheme="minorHAnsi" w:hAnsiTheme="minorHAnsi" w:cstheme="minorHAnsi"/>
          <w:sz w:val="22"/>
          <w:szCs w:val="22"/>
        </w:rPr>
        <w:t xml:space="preserve">age </w:t>
      </w:r>
      <w:r w:rsidRPr="008C37FB">
        <w:rPr>
          <w:rFonts w:asciiTheme="minorHAnsi" w:hAnsiTheme="minorHAnsi" w:cstheme="minorHAnsi"/>
          <w:sz w:val="22"/>
          <w:szCs w:val="22"/>
        </w:rPr>
        <w:t>18</w:t>
      </w:r>
      <w:r w:rsidR="00811CBB">
        <w:rPr>
          <w:rFonts w:asciiTheme="minorHAnsi" w:hAnsiTheme="minorHAnsi" w:cstheme="minorHAnsi"/>
          <w:sz w:val="22"/>
          <w:szCs w:val="22"/>
        </w:rPr>
        <w:t xml:space="preserve"> </w:t>
      </w:r>
      <w:r w:rsidR="00811CBB" w:rsidRPr="00811CBB">
        <w:rPr>
          <w:rFonts w:asciiTheme="minorHAnsi" w:hAnsiTheme="minorHAnsi" w:cstheme="minorHAnsi"/>
          <w:sz w:val="22"/>
          <w:szCs w:val="22"/>
        </w:rPr>
        <w:t xml:space="preserve">from caregiver or other </w:t>
      </w:r>
      <w:r w:rsidR="00811CBB">
        <w:rPr>
          <w:rFonts w:asciiTheme="minorHAnsi" w:hAnsiTheme="minorHAnsi" w:cstheme="minorHAnsi"/>
          <w:sz w:val="22"/>
          <w:szCs w:val="22"/>
        </w:rPr>
        <w:t>household</w:t>
      </w:r>
      <w:r w:rsidR="00811CBB" w:rsidRPr="00811CBB">
        <w:rPr>
          <w:rFonts w:asciiTheme="minorHAnsi" w:hAnsiTheme="minorHAnsi" w:cstheme="minorHAnsi"/>
          <w:sz w:val="22"/>
          <w:szCs w:val="22"/>
        </w:rPr>
        <w:t xml:space="preserve"> member</w:t>
      </w:r>
      <w:r w:rsidR="001C3ACC">
        <w:rPr>
          <w:rFonts w:asciiTheme="minorHAnsi" w:hAnsiTheme="minorHAnsi" w:cstheme="minorHAnsi"/>
          <w:sz w:val="22"/>
          <w:szCs w:val="22"/>
        </w:rPr>
        <w:t xml:space="preserve"> (n</w:t>
      </w:r>
      <w:r w:rsidR="001C3ACC" w:rsidRPr="001C3ACC">
        <w:rPr>
          <w:rFonts w:asciiTheme="minorHAnsi" w:hAnsiTheme="minorHAnsi" w:cstheme="minorHAnsi"/>
          <w:sz w:val="22"/>
          <w:szCs w:val="22"/>
        </w:rPr>
        <w:t>o secondhand smoking</w:t>
      </w:r>
      <w:r w:rsidR="001C3ACC">
        <w:rPr>
          <w:rFonts w:asciiTheme="minorHAnsi" w:hAnsiTheme="minorHAnsi" w:cstheme="minorHAnsi"/>
          <w:sz w:val="22"/>
          <w:szCs w:val="22"/>
        </w:rPr>
        <w:t>/</w:t>
      </w:r>
      <w:r w:rsidR="00AB6D8D">
        <w:rPr>
          <w:rFonts w:asciiTheme="minorHAnsi" w:hAnsiTheme="minorHAnsi" w:cstheme="minorHAnsi"/>
          <w:sz w:val="22"/>
          <w:szCs w:val="22"/>
        </w:rPr>
        <w:t>≤</w:t>
      </w:r>
      <w:r w:rsidR="001C3ACC" w:rsidRPr="001C3ACC">
        <w:rPr>
          <w:rFonts w:asciiTheme="minorHAnsi" w:hAnsiTheme="minorHAnsi" w:cstheme="minorHAnsi"/>
          <w:sz w:val="22"/>
          <w:szCs w:val="22"/>
        </w:rPr>
        <w:t>10</w:t>
      </w:r>
      <w:r w:rsidR="001C3ACC">
        <w:rPr>
          <w:rFonts w:asciiTheme="minorHAnsi" w:hAnsiTheme="minorHAnsi" w:cstheme="minorHAnsi"/>
          <w:sz w:val="22"/>
          <w:szCs w:val="22"/>
        </w:rPr>
        <w:t>/</w:t>
      </w:r>
      <w:r w:rsidR="00AB6D8D">
        <w:rPr>
          <w:rFonts w:asciiTheme="minorHAnsi" w:hAnsiTheme="minorHAnsi" w:cstheme="minorHAnsi"/>
          <w:sz w:val="22"/>
          <w:szCs w:val="22"/>
        </w:rPr>
        <w:t>&gt;</w:t>
      </w:r>
      <w:r w:rsidR="001C3ACC" w:rsidRPr="001C3ACC">
        <w:rPr>
          <w:rFonts w:asciiTheme="minorHAnsi" w:hAnsiTheme="minorHAnsi" w:cstheme="minorHAnsi"/>
          <w:sz w:val="22"/>
          <w:szCs w:val="22"/>
        </w:rPr>
        <w:t>10 years</w:t>
      </w:r>
      <w:r w:rsidR="001C3ACC">
        <w:rPr>
          <w:rFonts w:asciiTheme="minorHAnsi" w:hAnsiTheme="minorHAnsi" w:cstheme="minorHAnsi"/>
          <w:sz w:val="22"/>
          <w:szCs w:val="22"/>
        </w:rPr>
        <w:t>/u</w:t>
      </w:r>
      <w:r w:rsidR="001C3ACC" w:rsidRPr="001C3ACC">
        <w:rPr>
          <w:rFonts w:asciiTheme="minorHAnsi" w:hAnsiTheme="minorHAnsi" w:cstheme="minorHAnsi"/>
          <w:sz w:val="22"/>
          <w:szCs w:val="22"/>
        </w:rPr>
        <w:t>nknown</w:t>
      </w:r>
      <w:r w:rsidR="001C3ACC">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742EE625" w14:textId="70BD86B1" w:rsidR="002921AA"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Socioeconomic status during childhood and adolescence was determined by family income while growing up</w:t>
      </w:r>
      <w:r w:rsidR="008D342E">
        <w:rPr>
          <w:rFonts w:asciiTheme="minorHAnsi" w:hAnsiTheme="minorHAnsi" w:cstheme="minorHAnsi"/>
          <w:sz w:val="22"/>
          <w:szCs w:val="22"/>
        </w:rPr>
        <w:t xml:space="preserve"> (</w:t>
      </w:r>
      <w:r w:rsidR="00CC136F">
        <w:rPr>
          <w:rFonts w:asciiTheme="minorHAnsi" w:hAnsiTheme="minorHAnsi" w:cstheme="minorHAnsi"/>
          <w:sz w:val="22"/>
          <w:szCs w:val="22"/>
        </w:rPr>
        <w:t>w</w:t>
      </w:r>
      <w:r w:rsidR="00CC136F" w:rsidRPr="00CC136F">
        <w:rPr>
          <w:rFonts w:asciiTheme="minorHAnsi" w:hAnsiTheme="minorHAnsi" w:cstheme="minorHAnsi"/>
          <w:sz w:val="22"/>
          <w:szCs w:val="22"/>
        </w:rPr>
        <w:t>ell off</w:t>
      </w:r>
      <w:r w:rsidR="00CC136F">
        <w:rPr>
          <w:rFonts w:asciiTheme="minorHAnsi" w:hAnsiTheme="minorHAnsi" w:cstheme="minorHAnsi"/>
          <w:sz w:val="22"/>
          <w:szCs w:val="22"/>
        </w:rPr>
        <w:t>/m</w:t>
      </w:r>
      <w:r w:rsidR="00CC136F" w:rsidRPr="00CC136F">
        <w:rPr>
          <w:rFonts w:asciiTheme="minorHAnsi" w:hAnsiTheme="minorHAnsi" w:cstheme="minorHAnsi"/>
          <w:sz w:val="22"/>
          <w:szCs w:val="22"/>
        </w:rPr>
        <w:t>iddle income</w:t>
      </w:r>
      <w:r w:rsidR="00CC136F">
        <w:rPr>
          <w:rFonts w:asciiTheme="minorHAnsi" w:hAnsiTheme="minorHAnsi" w:cstheme="minorHAnsi"/>
          <w:sz w:val="22"/>
          <w:szCs w:val="22"/>
        </w:rPr>
        <w:t>/l</w:t>
      </w:r>
      <w:r w:rsidR="00CC136F" w:rsidRPr="00CC136F">
        <w:rPr>
          <w:rFonts w:asciiTheme="minorHAnsi" w:hAnsiTheme="minorHAnsi" w:cstheme="minorHAnsi"/>
          <w:sz w:val="22"/>
          <w:szCs w:val="22"/>
        </w:rPr>
        <w:t>ow income</w:t>
      </w:r>
      <w:r w:rsidR="00CC136F">
        <w:rPr>
          <w:rFonts w:asciiTheme="minorHAnsi" w:hAnsiTheme="minorHAnsi" w:cstheme="minorHAnsi"/>
          <w:sz w:val="22"/>
          <w:szCs w:val="22"/>
        </w:rPr>
        <w:t>/p</w:t>
      </w:r>
      <w:r w:rsidR="00CC136F" w:rsidRPr="00CC136F">
        <w:rPr>
          <w:rFonts w:asciiTheme="minorHAnsi" w:hAnsiTheme="minorHAnsi" w:cstheme="minorHAnsi"/>
          <w:sz w:val="22"/>
          <w:szCs w:val="22"/>
        </w:rPr>
        <w:t>oor</w:t>
      </w:r>
      <w:r w:rsidR="00CC136F">
        <w:rPr>
          <w:rFonts w:asciiTheme="minorHAnsi" w:hAnsiTheme="minorHAnsi" w:cstheme="minorHAnsi"/>
          <w:sz w:val="22"/>
          <w:szCs w:val="22"/>
        </w:rPr>
        <w:t>/u</w:t>
      </w:r>
      <w:r w:rsidR="00CC136F" w:rsidRPr="00CC136F">
        <w:rPr>
          <w:rFonts w:asciiTheme="minorHAnsi" w:hAnsiTheme="minorHAnsi" w:cstheme="minorHAnsi"/>
          <w:sz w:val="22"/>
          <w:szCs w:val="22"/>
        </w:rPr>
        <w:t>nknown</w:t>
      </w:r>
      <w:r w:rsidR="008D342E">
        <w:rPr>
          <w:rFonts w:asciiTheme="minorHAnsi" w:hAnsiTheme="minorHAnsi" w:cstheme="minorHAnsi"/>
          <w:sz w:val="22"/>
          <w:szCs w:val="22"/>
        </w:rPr>
        <w:t>)</w:t>
      </w:r>
      <w:r w:rsidRPr="008C37FB">
        <w:rPr>
          <w:rFonts w:asciiTheme="minorHAnsi" w:hAnsiTheme="minorHAnsi" w:cstheme="minorHAnsi"/>
          <w:sz w:val="22"/>
          <w:szCs w:val="22"/>
        </w:rPr>
        <w:t xml:space="preserve">, ever not having enough to eat during </w:t>
      </w:r>
      <w:r w:rsidRPr="008C37FB">
        <w:rPr>
          <w:rFonts w:asciiTheme="minorHAnsi" w:hAnsiTheme="minorHAnsi" w:cstheme="minorHAnsi"/>
          <w:sz w:val="22"/>
          <w:szCs w:val="22"/>
        </w:rPr>
        <w:lastRenderedPageBreak/>
        <w:t>childhood</w:t>
      </w:r>
      <w:r w:rsidR="00CC136F">
        <w:rPr>
          <w:rFonts w:asciiTheme="minorHAnsi" w:hAnsiTheme="minorHAnsi" w:cstheme="minorHAnsi"/>
          <w:sz w:val="22"/>
          <w:szCs w:val="22"/>
        </w:rPr>
        <w:t xml:space="preserve"> (yes/no/unknown)</w:t>
      </w:r>
      <w:r w:rsidRPr="008C37FB">
        <w:rPr>
          <w:rFonts w:asciiTheme="minorHAnsi" w:hAnsiTheme="minorHAnsi" w:cstheme="minorHAnsi"/>
          <w:sz w:val="22"/>
          <w:szCs w:val="22"/>
        </w:rPr>
        <w:t>, highest household education level at age 13</w:t>
      </w:r>
      <w:r w:rsidR="00101883">
        <w:rPr>
          <w:rFonts w:asciiTheme="minorHAnsi" w:hAnsiTheme="minorHAnsi" w:cstheme="minorHAnsi"/>
          <w:sz w:val="22"/>
          <w:szCs w:val="22"/>
        </w:rPr>
        <w:t xml:space="preserve"> (h</w:t>
      </w:r>
      <w:r w:rsidR="00101883"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101883" w:rsidRPr="00101883">
        <w:rPr>
          <w:rFonts w:asciiTheme="minorHAnsi" w:hAnsiTheme="minorHAnsi" w:cstheme="minorHAnsi"/>
          <w:sz w:val="22"/>
          <w:szCs w:val="22"/>
        </w:rPr>
        <w:t>school or GED or less</w:t>
      </w:r>
      <w:r w:rsidR="00101883">
        <w:rPr>
          <w:rFonts w:asciiTheme="minorHAnsi" w:hAnsiTheme="minorHAnsi" w:cstheme="minorHAnsi"/>
          <w:sz w:val="22"/>
          <w:szCs w:val="22"/>
        </w:rPr>
        <w:t>/s</w:t>
      </w:r>
      <w:r w:rsidR="00101883" w:rsidRPr="00101883">
        <w:rPr>
          <w:rFonts w:asciiTheme="minorHAnsi" w:hAnsiTheme="minorHAnsi" w:cstheme="minorHAnsi"/>
          <w:sz w:val="22"/>
          <w:szCs w:val="22"/>
        </w:rPr>
        <w:t>ome college or associate or technical degree</w:t>
      </w:r>
      <w:r w:rsidR="00101883">
        <w:rPr>
          <w:rFonts w:asciiTheme="minorHAnsi" w:hAnsiTheme="minorHAnsi" w:cstheme="minorHAnsi"/>
          <w:sz w:val="22"/>
          <w:szCs w:val="22"/>
        </w:rPr>
        <w:t>/b</w:t>
      </w:r>
      <w:r w:rsidR="00101883" w:rsidRPr="00101883">
        <w:rPr>
          <w:rFonts w:asciiTheme="minorHAnsi" w:hAnsiTheme="minorHAnsi" w:cstheme="minorHAnsi"/>
          <w:sz w:val="22"/>
          <w:szCs w:val="22"/>
        </w:rPr>
        <w:t>achelor's degree or higher</w:t>
      </w:r>
      <w:r w:rsidR="00101883">
        <w:rPr>
          <w:rFonts w:asciiTheme="minorHAnsi" w:hAnsiTheme="minorHAnsi" w:cstheme="minorHAnsi"/>
          <w:sz w:val="22"/>
          <w:szCs w:val="22"/>
        </w:rPr>
        <w:t>/u</w:t>
      </w:r>
      <w:r w:rsidR="00101883" w:rsidRPr="00101883">
        <w:rPr>
          <w:rFonts w:asciiTheme="minorHAnsi" w:hAnsiTheme="minorHAnsi" w:cstheme="minorHAnsi"/>
          <w:sz w:val="22"/>
          <w:szCs w:val="22"/>
        </w:rPr>
        <w:t>nknown</w:t>
      </w:r>
      <w:r w:rsidR="00101883">
        <w:rPr>
          <w:rFonts w:asciiTheme="minorHAnsi" w:hAnsiTheme="minorHAnsi" w:cstheme="minorHAnsi"/>
          <w:sz w:val="22"/>
          <w:szCs w:val="22"/>
        </w:rPr>
        <w:t>)</w:t>
      </w:r>
      <w:r w:rsidRPr="008C37FB">
        <w:rPr>
          <w:rFonts w:asciiTheme="minorHAnsi" w:hAnsiTheme="minorHAnsi" w:cstheme="minorHAnsi"/>
          <w:sz w:val="22"/>
          <w:szCs w:val="22"/>
        </w:rPr>
        <w:t xml:space="preserve">, </w:t>
      </w:r>
      <w:r w:rsidR="00353215">
        <w:rPr>
          <w:rFonts w:asciiTheme="minorHAnsi" w:hAnsiTheme="minorHAnsi" w:cstheme="minorHAnsi"/>
          <w:sz w:val="22"/>
          <w:szCs w:val="22"/>
        </w:rPr>
        <w:t>family type</w:t>
      </w:r>
      <w:r w:rsidRPr="008C37FB">
        <w:rPr>
          <w:rFonts w:asciiTheme="minorHAnsi" w:hAnsiTheme="minorHAnsi" w:cstheme="minorHAnsi"/>
          <w:sz w:val="22"/>
          <w:szCs w:val="22"/>
        </w:rPr>
        <w:t xml:space="preserve"> at age 13</w:t>
      </w:r>
      <w:r w:rsidR="008533B2">
        <w:rPr>
          <w:rFonts w:asciiTheme="minorHAnsi" w:hAnsiTheme="minorHAnsi" w:cstheme="minorHAnsi"/>
          <w:sz w:val="22"/>
          <w:szCs w:val="22"/>
        </w:rPr>
        <w:t xml:space="preserve"> (t</w:t>
      </w:r>
      <w:r w:rsidR="008533B2" w:rsidRPr="008533B2">
        <w:rPr>
          <w:rFonts w:asciiTheme="minorHAnsi" w:hAnsiTheme="minorHAnsi" w:cstheme="minorHAnsi"/>
          <w:sz w:val="22"/>
          <w:szCs w:val="22"/>
        </w:rPr>
        <w:t>wo parents</w:t>
      </w:r>
      <w:r w:rsidR="008533B2">
        <w:rPr>
          <w:rFonts w:asciiTheme="minorHAnsi" w:hAnsiTheme="minorHAnsi" w:cstheme="minorHAnsi"/>
          <w:sz w:val="22"/>
          <w:szCs w:val="22"/>
        </w:rPr>
        <w:t>/s</w:t>
      </w:r>
      <w:r w:rsidR="008533B2" w:rsidRPr="008533B2">
        <w:rPr>
          <w:rFonts w:asciiTheme="minorHAnsi" w:hAnsiTheme="minorHAnsi" w:cstheme="minorHAnsi"/>
          <w:sz w:val="22"/>
          <w:szCs w:val="22"/>
        </w:rPr>
        <w:t>ingle parent</w:t>
      </w:r>
      <w:r w:rsidR="008533B2">
        <w:rPr>
          <w:rFonts w:asciiTheme="minorHAnsi" w:hAnsiTheme="minorHAnsi" w:cstheme="minorHAnsi"/>
          <w:sz w:val="22"/>
          <w:szCs w:val="22"/>
        </w:rPr>
        <w:t>/u</w:t>
      </w:r>
      <w:r w:rsidR="008533B2" w:rsidRPr="008533B2">
        <w:rPr>
          <w:rFonts w:asciiTheme="minorHAnsi" w:hAnsiTheme="minorHAnsi" w:cstheme="minorHAnsi"/>
          <w:sz w:val="22"/>
          <w:szCs w:val="22"/>
        </w:rPr>
        <w:t>nknown</w:t>
      </w:r>
      <w:r w:rsidR="008533B2">
        <w:rPr>
          <w:rFonts w:asciiTheme="minorHAnsi" w:hAnsiTheme="minorHAnsi" w:cstheme="minorHAnsi"/>
          <w:sz w:val="22"/>
          <w:szCs w:val="22"/>
        </w:rPr>
        <w:t>)</w:t>
      </w:r>
      <w:r w:rsidRPr="008C37FB">
        <w:rPr>
          <w:rFonts w:asciiTheme="minorHAnsi" w:hAnsiTheme="minorHAnsi" w:cstheme="minorHAnsi"/>
          <w:sz w:val="22"/>
          <w:szCs w:val="22"/>
        </w:rPr>
        <w:t xml:space="preserve">, and childhood </w:t>
      </w:r>
      <w:r w:rsidR="00F053FE" w:rsidRPr="00F053FE">
        <w:rPr>
          <w:rFonts w:asciiTheme="minorHAnsi" w:hAnsiTheme="minorHAnsi" w:cstheme="minorHAnsi"/>
          <w:sz w:val="22"/>
          <w:szCs w:val="22"/>
        </w:rPr>
        <w:t>urbanicity</w:t>
      </w:r>
      <w:r w:rsidR="00F053FE" w:rsidRPr="00F053FE" w:rsidDel="00F053FE">
        <w:rPr>
          <w:rFonts w:asciiTheme="minorHAnsi" w:hAnsiTheme="minorHAnsi" w:cstheme="minorHAnsi"/>
          <w:sz w:val="22"/>
          <w:szCs w:val="22"/>
        </w:rPr>
        <w:t xml:space="preserve"> </w:t>
      </w:r>
      <w:r w:rsidR="006C1BBE">
        <w:rPr>
          <w:rFonts w:asciiTheme="minorHAnsi" w:hAnsiTheme="minorHAnsi" w:cstheme="minorHAnsi"/>
          <w:sz w:val="22"/>
          <w:szCs w:val="22"/>
        </w:rPr>
        <w:t>(u</w:t>
      </w:r>
      <w:r w:rsidR="006C1BBE" w:rsidRPr="006C1BBE">
        <w:rPr>
          <w:rFonts w:asciiTheme="minorHAnsi" w:hAnsiTheme="minorHAnsi" w:cstheme="minorHAnsi"/>
          <w:sz w:val="22"/>
          <w:szCs w:val="22"/>
        </w:rPr>
        <w:t>rban</w:t>
      </w:r>
      <w:r w:rsidR="002E04A4">
        <w:rPr>
          <w:rFonts w:asciiTheme="minorHAnsi" w:hAnsiTheme="minorHAnsi" w:cstheme="minorHAnsi"/>
          <w:sz w:val="22"/>
          <w:szCs w:val="22"/>
        </w:rPr>
        <w:t xml:space="preserve"> or</w:t>
      </w:r>
      <w:r w:rsidR="006C1BBE" w:rsidRPr="006C1BBE">
        <w:rPr>
          <w:rFonts w:asciiTheme="minorHAnsi" w:hAnsiTheme="minorHAnsi" w:cstheme="minorHAnsi"/>
          <w:sz w:val="22"/>
          <w:szCs w:val="22"/>
        </w:rPr>
        <w:t xml:space="preserve"> suburban</w:t>
      </w:r>
      <w:r w:rsidR="002E04A4">
        <w:rPr>
          <w:rFonts w:asciiTheme="minorHAnsi" w:hAnsiTheme="minorHAnsi" w:cstheme="minorHAnsi"/>
          <w:sz w:val="22"/>
          <w:szCs w:val="22"/>
        </w:rPr>
        <w:t>/</w:t>
      </w:r>
      <w:r w:rsidR="006C1BBE" w:rsidRPr="006C1BBE">
        <w:rPr>
          <w:rFonts w:asciiTheme="minorHAnsi" w:hAnsiTheme="minorHAnsi" w:cstheme="minorHAnsi"/>
          <w:sz w:val="22"/>
          <w:szCs w:val="22"/>
        </w:rPr>
        <w:t>small</w:t>
      </w:r>
      <w:r w:rsidR="008A48AE">
        <w:rPr>
          <w:rFonts w:asciiTheme="minorHAnsi" w:hAnsiTheme="minorHAnsi" w:cstheme="minorHAnsi"/>
          <w:sz w:val="22"/>
          <w:szCs w:val="22"/>
        </w:rPr>
        <w:t xml:space="preserve"> town</w:t>
      </w:r>
      <w:r w:rsidR="002E04A4">
        <w:rPr>
          <w:rFonts w:asciiTheme="minorHAnsi" w:hAnsiTheme="minorHAnsi" w:cstheme="minorHAnsi"/>
          <w:sz w:val="22"/>
          <w:szCs w:val="22"/>
        </w:rPr>
        <w:t xml:space="preserve"> or </w:t>
      </w:r>
      <w:r w:rsidR="006C1BBE">
        <w:rPr>
          <w:rFonts w:asciiTheme="minorHAnsi" w:hAnsiTheme="minorHAnsi" w:cstheme="minorHAnsi"/>
          <w:sz w:val="22"/>
          <w:szCs w:val="22"/>
        </w:rPr>
        <w:t>r</w:t>
      </w:r>
      <w:r w:rsidR="006C1BBE" w:rsidRPr="006C1BBE">
        <w:rPr>
          <w:rFonts w:asciiTheme="minorHAnsi" w:hAnsiTheme="minorHAnsi" w:cstheme="minorHAnsi"/>
          <w:sz w:val="22"/>
          <w:szCs w:val="22"/>
        </w:rPr>
        <w:t>ural</w:t>
      </w:r>
      <w:r w:rsidR="00B90143">
        <w:rPr>
          <w:rFonts w:asciiTheme="minorHAnsi" w:hAnsiTheme="minorHAnsi" w:cstheme="minorHAnsi"/>
          <w:sz w:val="22"/>
          <w:szCs w:val="22"/>
        </w:rPr>
        <w:t xml:space="preserve"> areas</w:t>
      </w:r>
      <w:r w:rsidR="006C1BBE">
        <w:rPr>
          <w:rFonts w:asciiTheme="minorHAnsi" w:hAnsiTheme="minorHAnsi" w:cstheme="minorHAnsi"/>
          <w:sz w:val="22"/>
          <w:szCs w:val="22"/>
        </w:rPr>
        <w:t>/u</w:t>
      </w:r>
      <w:r w:rsidR="006C1BBE" w:rsidRPr="006C1BBE">
        <w:rPr>
          <w:rFonts w:asciiTheme="minorHAnsi" w:hAnsiTheme="minorHAnsi" w:cstheme="minorHAnsi"/>
          <w:sz w:val="22"/>
          <w:szCs w:val="22"/>
        </w:rPr>
        <w:t>nknown</w:t>
      </w:r>
      <w:r w:rsidR="006C1BBE">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1EEF78C9" w14:textId="31E51BEE" w:rsidR="00D577B6" w:rsidRDefault="00D577B6" w:rsidP="006C1BBE">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Missing data were less than 5% for all variables except for n</w:t>
      </w:r>
      <w:r w:rsidRPr="00960EE3">
        <w:rPr>
          <w:rFonts w:asciiTheme="minorHAnsi" w:hAnsiTheme="minorHAnsi" w:cstheme="minorHAnsi"/>
          <w:sz w:val="22"/>
          <w:szCs w:val="22"/>
        </w:rPr>
        <w:t>umber of drinks per year between age</w:t>
      </w:r>
      <w:r w:rsidR="008A48AE">
        <w:rPr>
          <w:rFonts w:asciiTheme="minorHAnsi" w:hAnsiTheme="minorHAnsi" w:cstheme="minorHAnsi"/>
          <w:sz w:val="22"/>
          <w:szCs w:val="22"/>
        </w:rPr>
        <w:t>s</w:t>
      </w:r>
      <w:r w:rsidRPr="00960EE3">
        <w:rPr>
          <w:rFonts w:asciiTheme="minorHAnsi" w:hAnsiTheme="minorHAnsi" w:cstheme="minorHAnsi"/>
          <w:sz w:val="22"/>
          <w:szCs w:val="22"/>
        </w:rPr>
        <w:t xml:space="preserve"> 5 and 20</w:t>
      </w:r>
      <w:r w:rsidRPr="00960EE3" w:rsidDel="00960EE3">
        <w:rPr>
          <w:rFonts w:asciiTheme="minorHAnsi" w:hAnsiTheme="minorHAnsi" w:cstheme="minorHAnsi"/>
          <w:sz w:val="22"/>
          <w:szCs w:val="22"/>
        </w:rPr>
        <w:t xml:space="preserve"> </w:t>
      </w:r>
      <w:r>
        <w:rPr>
          <w:rFonts w:asciiTheme="minorHAnsi" w:hAnsiTheme="minorHAnsi" w:cstheme="minorHAnsi"/>
          <w:sz w:val="22"/>
          <w:szCs w:val="22"/>
        </w:rPr>
        <w:t>(9.3%).</w:t>
      </w:r>
      <w:r w:rsidR="00C2773B">
        <w:rPr>
          <w:rFonts w:asciiTheme="minorHAnsi" w:hAnsiTheme="minorHAnsi" w:cstheme="minorHAnsi"/>
          <w:sz w:val="22"/>
          <w:szCs w:val="22"/>
        </w:rPr>
        <w:t xml:space="preserve"> For continuous variables, we imputed m</w:t>
      </w:r>
      <w:r w:rsidR="00C2773B" w:rsidRPr="00A45EDC">
        <w:rPr>
          <w:rFonts w:asciiTheme="minorHAnsi" w:hAnsiTheme="minorHAnsi" w:cstheme="minorHAnsi"/>
          <w:sz w:val="22"/>
          <w:szCs w:val="22"/>
        </w:rPr>
        <w:t xml:space="preserve">issing data </w:t>
      </w:r>
      <w:r w:rsidR="000127B7">
        <w:rPr>
          <w:rFonts w:asciiTheme="minorHAnsi" w:hAnsiTheme="minorHAnsi" w:cstheme="minorHAnsi"/>
          <w:sz w:val="22"/>
          <w:szCs w:val="22"/>
        </w:rPr>
        <w:t>using</w:t>
      </w:r>
      <w:r w:rsidR="00C2773B">
        <w:rPr>
          <w:rFonts w:asciiTheme="minorHAnsi" w:hAnsiTheme="minorHAnsi" w:cstheme="minorHAnsi"/>
          <w:sz w:val="22"/>
          <w:szCs w:val="22"/>
        </w:rPr>
        <w:t xml:space="preserve"> mean values</w:t>
      </w:r>
      <w:r w:rsidR="00C2773B" w:rsidRPr="00A45EDC">
        <w:rPr>
          <w:rFonts w:asciiTheme="minorHAnsi" w:hAnsiTheme="minorHAnsi" w:cstheme="minorHAnsi"/>
          <w:sz w:val="22"/>
          <w:szCs w:val="22"/>
        </w:rPr>
        <w:t>.</w:t>
      </w:r>
    </w:p>
    <w:p w14:paraId="2C33EA53" w14:textId="7195F8F1" w:rsidR="00591B2C" w:rsidRPr="008C37FB" w:rsidRDefault="005D3DB5" w:rsidP="008C37FB">
      <w:pPr>
        <w:pStyle w:val="NormalWeb"/>
        <w:spacing w:line="360" w:lineRule="auto"/>
        <w:rPr>
          <w:rFonts w:asciiTheme="minorHAnsi" w:hAnsiTheme="minorHAnsi" w:cstheme="minorHAnsi"/>
          <w:b/>
          <w:bCs/>
          <w:sz w:val="22"/>
          <w:szCs w:val="22"/>
        </w:rPr>
      </w:pPr>
      <w:r>
        <w:rPr>
          <w:rFonts w:asciiTheme="minorHAnsi" w:hAnsiTheme="minorHAnsi" w:cstheme="minorHAnsi"/>
          <w:b/>
          <w:bCs/>
          <w:sz w:val="22"/>
          <w:szCs w:val="22"/>
        </w:rPr>
        <w:t>Baseline c</w:t>
      </w:r>
      <w:r w:rsidR="00591B2C" w:rsidRPr="008C37FB">
        <w:rPr>
          <w:rFonts w:asciiTheme="minorHAnsi" w:hAnsiTheme="minorHAnsi" w:cstheme="minorHAnsi"/>
          <w:b/>
          <w:bCs/>
          <w:sz w:val="22"/>
          <w:szCs w:val="22"/>
        </w:rPr>
        <w:t>ovariates</w:t>
      </w:r>
    </w:p>
    <w:p w14:paraId="5EB14FA9" w14:textId="6B1E5C37" w:rsidR="00591B2C" w:rsidRDefault="005746E9" w:rsidP="00C365C2">
      <w:pPr>
        <w:pStyle w:val="NormalWeb"/>
        <w:spacing w:line="360" w:lineRule="auto"/>
        <w:rPr>
          <w:rFonts w:asciiTheme="minorHAnsi" w:hAnsiTheme="minorHAnsi" w:cstheme="minorHAnsi"/>
          <w:sz w:val="22"/>
          <w:szCs w:val="22"/>
        </w:rPr>
      </w:pPr>
      <w:r w:rsidRPr="005746E9">
        <w:rPr>
          <w:rFonts w:asciiTheme="minorHAnsi" w:hAnsiTheme="minorHAnsi" w:cstheme="minorHAnsi"/>
          <w:sz w:val="22"/>
          <w:szCs w:val="22"/>
        </w:rPr>
        <w:t xml:space="preserve">Baseline </w:t>
      </w:r>
      <w:r w:rsidR="00765279" w:rsidRPr="008C37FB">
        <w:rPr>
          <w:rFonts w:asciiTheme="minorHAnsi" w:hAnsiTheme="minorHAnsi" w:cstheme="minorHAnsi"/>
          <w:sz w:val="22"/>
          <w:szCs w:val="22"/>
        </w:rPr>
        <w:t xml:space="preserve">examiner-measured </w:t>
      </w:r>
      <w:r w:rsidRPr="005746E9">
        <w:rPr>
          <w:rFonts w:asciiTheme="minorHAnsi" w:hAnsiTheme="minorHAnsi" w:cstheme="minorHAnsi"/>
          <w:sz w:val="22"/>
          <w:szCs w:val="22"/>
        </w:rPr>
        <w:t xml:space="preserve">BMI was calculated using in-person measurements of </w:t>
      </w:r>
      <w:r w:rsidR="00713D01" w:rsidRPr="008C37FB">
        <w:rPr>
          <w:rFonts w:asciiTheme="minorHAnsi" w:hAnsiTheme="minorHAnsi" w:cstheme="minorHAnsi"/>
          <w:sz w:val="22"/>
          <w:szCs w:val="22"/>
        </w:rPr>
        <w:t xml:space="preserve">weight in kilograms divided by the square of height in meters. </w:t>
      </w:r>
      <w:r>
        <w:rPr>
          <w:rFonts w:asciiTheme="minorHAnsi" w:hAnsiTheme="minorHAnsi" w:cstheme="minorHAnsi"/>
          <w:sz w:val="22"/>
          <w:szCs w:val="22"/>
        </w:rPr>
        <w:t>D</w:t>
      </w:r>
      <w:r w:rsidRPr="005746E9">
        <w:rPr>
          <w:rFonts w:asciiTheme="minorHAnsi" w:hAnsiTheme="minorHAnsi" w:cstheme="minorHAnsi"/>
          <w:sz w:val="22"/>
          <w:szCs w:val="22"/>
        </w:rPr>
        <w:t>emographic and socioeconomic characteristics</w:t>
      </w:r>
      <w:r w:rsidR="00713D01" w:rsidRPr="008C37FB">
        <w:rPr>
          <w:rFonts w:asciiTheme="minorHAnsi" w:hAnsiTheme="minorHAnsi" w:cstheme="minorHAnsi"/>
          <w:sz w:val="22"/>
          <w:szCs w:val="22"/>
        </w:rPr>
        <w:t>, including age, self-identified race/ethnicity (</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White</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Black</w:t>
      </w:r>
      <w:r w:rsidR="00765279">
        <w:rPr>
          <w:rFonts w:asciiTheme="minorHAnsi" w:hAnsiTheme="minorHAnsi" w:cstheme="minorHAnsi"/>
          <w:sz w:val="22"/>
          <w:szCs w:val="22"/>
        </w:rPr>
        <w:t>/</w:t>
      </w:r>
      <w:r w:rsidR="00713D01" w:rsidRPr="008C37FB">
        <w:rPr>
          <w:rFonts w:asciiTheme="minorHAnsi" w:hAnsiTheme="minorHAnsi" w:cstheme="minorHAnsi"/>
          <w:sz w:val="22"/>
          <w:szCs w:val="22"/>
        </w:rPr>
        <w:t>Hispanic</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all other races</w:t>
      </w:r>
      <w:r w:rsidR="00765279">
        <w:rPr>
          <w:rFonts w:asciiTheme="minorHAnsi" w:hAnsiTheme="minorHAnsi" w:cstheme="minorHAnsi"/>
          <w:sz w:val="22"/>
          <w:szCs w:val="22"/>
        </w:rPr>
        <w:t>/u</w:t>
      </w:r>
      <w:r w:rsidR="00713D01" w:rsidRPr="008C37FB">
        <w:rPr>
          <w:rFonts w:asciiTheme="minorHAnsi" w:hAnsiTheme="minorHAnsi" w:cstheme="minorHAnsi"/>
          <w:sz w:val="22"/>
          <w:szCs w:val="22"/>
        </w:rPr>
        <w:t xml:space="preserve">nknown), personal </w:t>
      </w:r>
      <w:r w:rsidR="00413F89">
        <w:rPr>
          <w:rFonts w:asciiTheme="minorHAnsi" w:hAnsiTheme="minorHAnsi" w:cstheme="minorHAnsi"/>
          <w:sz w:val="22"/>
          <w:szCs w:val="22"/>
        </w:rPr>
        <w:t xml:space="preserve">attained </w:t>
      </w:r>
      <w:r w:rsidR="00713D01" w:rsidRPr="008C37FB">
        <w:rPr>
          <w:rFonts w:asciiTheme="minorHAnsi" w:hAnsiTheme="minorHAnsi" w:cstheme="minorHAnsi"/>
          <w:sz w:val="22"/>
          <w:szCs w:val="22"/>
        </w:rPr>
        <w:t>education level</w:t>
      </w:r>
      <w:r w:rsidR="005D145A">
        <w:rPr>
          <w:rFonts w:asciiTheme="minorHAnsi" w:hAnsiTheme="minorHAnsi" w:cstheme="minorHAnsi"/>
          <w:sz w:val="22"/>
          <w:szCs w:val="22"/>
        </w:rPr>
        <w:t xml:space="preserve"> (h</w:t>
      </w:r>
      <w:r w:rsidR="005D145A"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5D145A" w:rsidRPr="00101883">
        <w:rPr>
          <w:rFonts w:asciiTheme="minorHAnsi" w:hAnsiTheme="minorHAnsi" w:cstheme="minorHAnsi"/>
          <w:sz w:val="22"/>
          <w:szCs w:val="22"/>
        </w:rPr>
        <w:t>school or GED or less</w:t>
      </w:r>
      <w:r w:rsidR="005D145A">
        <w:rPr>
          <w:rFonts w:asciiTheme="minorHAnsi" w:hAnsiTheme="minorHAnsi" w:cstheme="minorHAnsi"/>
          <w:sz w:val="22"/>
          <w:szCs w:val="22"/>
        </w:rPr>
        <w:t>/s</w:t>
      </w:r>
      <w:r w:rsidR="005D145A" w:rsidRPr="00101883">
        <w:rPr>
          <w:rFonts w:asciiTheme="minorHAnsi" w:hAnsiTheme="minorHAnsi" w:cstheme="minorHAnsi"/>
          <w:sz w:val="22"/>
          <w:szCs w:val="22"/>
        </w:rPr>
        <w:t>ome college or associate or technical degree</w:t>
      </w:r>
      <w:r w:rsidR="005D145A">
        <w:rPr>
          <w:rFonts w:asciiTheme="minorHAnsi" w:hAnsiTheme="minorHAnsi" w:cstheme="minorHAnsi"/>
          <w:sz w:val="22"/>
          <w:szCs w:val="22"/>
        </w:rPr>
        <w:t>/b</w:t>
      </w:r>
      <w:r w:rsidR="005D145A" w:rsidRPr="00101883">
        <w:rPr>
          <w:rFonts w:asciiTheme="minorHAnsi" w:hAnsiTheme="minorHAnsi" w:cstheme="minorHAnsi"/>
          <w:sz w:val="22"/>
          <w:szCs w:val="22"/>
        </w:rPr>
        <w:t>achelor's degree or higher</w:t>
      </w:r>
      <w:r w:rsidR="005D145A">
        <w:rPr>
          <w:rFonts w:asciiTheme="minorHAnsi" w:hAnsiTheme="minorHAnsi" w:cstheme="minorHAnsi"/>
          <w:sz w:val="22"/>
          <w:szCs w:val="22"/>
        </w:rPr>
        <w:t>/u</w:t>
      </w:r>
      <w:r w:rsidR="005D145A" w:rsidRPr="00101883">
        <w:rPr>
          <w:rFonts w:asciiTheme="minorHAnsi" w:hAnsiTheme="minorHAnsi" w:cstheme="minorHAnsi"/>
          <w:sz w:val="22"/>
          <w:szCs w:val="22"/>
        </w:rPr>
        <w:t>nknown</w:t>
      </w:r>
      <w:r w:rsidR="005D145A">
        <w:rPr>
          <w:rFonts w:asciiTheme="minorHAnsi" w:hAnsiTheme="minorHAnsi" w:cstheme="minorHAnsi"/>
          <w:sz w:val="22"/>
          <w:szCs w:val="22"/>
        </w:rPr>
        <w:t>)</w:t>
      </w:r>
      <w:r w:rsidR="00713D01" w:rsidRPr="008C37FB">
        <w:rPr>
          <w:rFonts w:asciiTheme="minorHAnsi" w:hAnsiTheme="minorHAnsi" w:cstheme="minorHAnsi"/>
          <w:sz w:val="22"/>
          <w:szCs w:val="22"/>
        </w:rPr>
        <w:t xml:space="preserve">, and household annual income </w:t>
      </w:r>
      <w:r w:rsidR="00C365C2">
        <w:rPr>
          <w:rFonts w:asciiTheme="minorHAnsi" w:hAnsiTheme="minorHAnsi" w:cstheme="minorHAnsi"/>
          <w:sz w:val="22"/>
          <w:szCs w:val="22"/>
        </w:rPr>
        <w:t>(</w:t>
      </w:r>
      <w:r w:rsidR="00C365C2" w:rsidRPr="00C365C2">
        <w:rPr>
          <w:rFonts w:asciiTheme="minorHAnsi" w:hAnsiTheme="minorHAnsi" w:cstheme="minorHAnsi"/>
          <w:sz w:val="22"/>
          <w:szCs w:val="22"/>
        </w:rPr>
        <w:t>&lt;$50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w:t>
      </w:r>
      <w:r w:rsidR="00C365C2" w:rsidRPr="00C365C2">
        <w:rPr>
          <w:rFonts w:asciiTheme="minorHAnsi" w:hAnsiTheme="minorHAnsi" w:cstheme="minorHAnsi"/>
          <w:sz w:val="22"/>
          <w:szCs w:val="22"/>
        </w:rPr>
        <w: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000-$99</w:t>
      </w:r>
      <w:r w:rsidR="00172934">
        <w:rPr>
          <w:rFonts w:asciiTheme="minorHAnsi" w:hAnsiTheme="minorHAnsi" w:cstheme="minorHAnsi"/>
          <w:sz w:val="22"/>
          <w:szCs w:val="22"/>
        </w:rPr>
        <w:t>,</w:t>
      </w:r>
      <w:r w:rsidR="00C365C2" w:rsidRPr="00C365C2">
        <w:rPr>
          <w:rFonts w:asciiTheme="minorHAnsi" w:hAnsiTheme="minorHAnsi" w:cstheme="minorHAnsi"/>
          <w:sz w:val="22"/>
          <w:szCs w:val="22"/>
        </w:rPr>
        <w:t>999</w:t>
      </w:r>
      <w:r w:rsidR="00C365C2">
        <w:rPr>
          <w:rFonts w:asciiTheme="minorHAnsi" w:hAnsiTheme="minorHAnsi" w:cstheme="minorHAnsi"/>
          <w:sz w:val="22"/>
          <w:szCs w:val="22"/>
        </w:rPr>
        <w:t>/</w:t>
      </w:r>
      <w:r w:rsidR="008A48AE">
        <w:rPr>
          <w:rFonts w:asciiTheme="minorHAnsi" w:hAnsiTheme="minorHAnsi" w:cstheme="minorHAnsi"/>
          <w:sz w:val="22"/>
          <w:szCs w:val="22"/>
        </w:rPr>
        <w:t>≥</w:t>
      </w:r>
      <w:r w:rsidR="00C365C2" w:rsidRPr="00C365C2">
        <w:rPr>
          <w:rFonts w:asciiTheme="minorHAnsi" w:hAnsiTheme="minorHAnsi" w:cstheme="minorHAnsi"/>
          <w:sz w:val="22"/>
          <w:szCs w:val="22"/>
        </w:rPr>
        <w:t>$100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w:t>
      </w:r>
      <w:r>
        <w:rPr>
          <w:rFonts w:asciiTheme="minorHAnsi" w:hAnsiTheme="minorHAnsi" w:cstheme="minorHAnsi"/>
          <w:sz w:val="22"/>
          <w:szCs w:val="22"/>
        </w:rPr>
        <w:t>collected</w:t>
      </w:r>
      <w:r w:rsidRPr="008C37FB">
        <w:rPr>
          <w:rFonts w:asciiTheme="minorHAnsi" w:hAnsiTheme="minorHAnsi" w:cstheme="minorHAnsi"/>
          <w:sz w:val="22"/>
          <w:szCs w:val="22"/>
        </w:rPr>
        <w:t xml:space="preserve"> </w:t>
      </w:r>
      <w:r>
        <w:rPr>
          <w:rFonts w:asciiTheme="minorHAnsi" w:hAnsiTheme="minorHAnsi" w:cstheme="minorHAnsi"/>
          <w:sz w:val="22"/>
          <w:szCs w:val="22"/>
        </w:rPr>
        <w:t>through</w:t>
      </w:r>
      <w:r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computer-assisted telephone interview</w:t>
      </w:r>
      <w:r w:rsidR="008A48AE">
        <w:rPr>
          <w:rFonts w:asciiTheme="minorHAnsi" w:hAnsiTheme="minorHAnsi" w:cstheme="minorHAnsi"/>
          <w:sz w:val="22"/>
          <w:szCs w:val="22"/>
        </w:rPr>
        <w:t>s</w:t>
      </w:r>
      <w:r w:rsidR="00713D01" w:rsidRPr="008C37FB">
        <w:rPr>
          <w:rFonts w:asciiTheme="minorHAnsi" w:hAnsiTheme="minorHAnsi" w:cstheme="minorHAnsi"/>
          <w:sz w:val="22"/>
          <w:szCs w:val="22"/>
        </w:rPr>
        <w:t xml:space="preserve">. </w:t>
      </w:r>
    </w:p>
    <w:p w14:paraId="582001F2"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t>Statistical analysis</w:t>
      </w:r>
    </w:p>
    <w:p w14:paraId="480BAD2A" w14:textId="50118FA5"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used Cox proportional hazards models to estimate hazard ratios (HRs) and 95% confidence intervals (CIs), with attained age as the time scale and self-reported race/ethnicity as </w:t>
      </w:r>
      <w:r w:rsidR="00A5350D">
        <w:rPr>
          <w:rFonts w:asciiTheme="minorHAnsi" w:hAnsiTheme="minorHAnsi" w:cstheme="minorHAnsi"/>
          <w:sz w:val="22"/>
          <w:szCs w:val="22"/>
        </w:rPr>
        <w:t xml:space="preserve">a </w:t>
      </w:r>
      <w:r w:rsidRPr="008C37FB">
        <w:rPr>
          <w:rFonts w:asciiTheme="minorHAnsi" w:hAnsiTheme="minorHAnsi" w:cstheme="minorHAnsi"/>
          <w:sz w:val="22"/>
          <w:szCs w:val="22"/>
        </w:rPr>
        <w:t xml:space="preserve">covariate. </w:t>
      </w:r>
      <w:r w:rsidR="003557FE" w:rsidRPr="008C37FB">
        <w:rPr>
          <w:rFonts w:asciiTheme="minorHAnsi" w:hAnsiTheme="minorHAnsi" w:cstheme="minorHAnsi"/>
          <w:sz w:val="22"/>
          <w:szCs w:val="22"/>
        </w:rPr>
        <w:t xml:space="preserve">Follow-up time was </w:t>
      </w:r>
      <w:r w:rsidR="003557FE">
        <w:rPr>
          <w:rFonts w:asciiTheme="minorHAnsi" w:hAnsiTheme="minorHAnsi" w:cstheme="minorHAnsi"/>
          <w:sz w:val="22"/>
          <w:szCs w:val="22"/>
        </w:rPr>
        <w:t>calculated</w:t>
      </w:r>
      <w:r w:rsidR="003557FE" w:rsidRPr="008C37FB">
        <w:rPr>
          <w:rFonts w:asciiTheme="minorHAnsi" w:hAnsiTheme="minorHAnsi" w:cstheme="minorHAnsi"/>
          <w:sz w:val="22"/>
          <w:szCs w:val="22"/>
        </w:rPr>
        <w:t xml:space="preserve"> from </w:t>
      </w:r>
      <w:r w:rsidR="003557FE">
        <w:rPr>
          <w:rFonts w:asciiTheme="minorHAnsi" w:hAnsiTheme="minorHAnsi" w:cstheme="minorHAnsi"/>
          <w:sz w:val="22"/>
          <w:szCs w:val="22"/>
        </w:rPr>
        <w:t xml:space="preserve">age at </w:t>
      </w:r>
      <w:r w:rsidR="003557FE" w:rsidRPr="008C37FB">
        <w:rPr>
          <w:rFonts w:asciiTheme="minorHAnsi" w:hAnsiTheme="minorHAnsi" w:cstheme="minorHAnsi"/>
          <w:sz w:val="22"/>
          <w:szCs w:val="22"/>
        </w:rPr>
        <w:t xml:space="preserve">baseline </w:t>
      </w:r>
      <w:r w:rsidR="00413F89">
        <w:rPr>
          <w:rFonts w:asciiTheme="minorHAnsi" w:hAnsiTheme="minorHAnsi" w:cstheme="minorHAnsi"/>
          <w:sz w:val="22"/>
          <w:szCs w:val="22"/>
        </w:rPr>
        <w:t xml:space="preserve">until age at DTC diagnosis, with censoring at </w:t>
      </w:r>
      <w:r w:rsidR="003557FE">
        <w:rPr>
          <w:rFonts w:asciiTheme="minorHAnsi" w:hAnsiTheme="minorHAnsi" w:cstheme="minorHAnsi"/>
          <w:sz w:val="22"/>
          <w:szCs w:val="22"/>
        </w:rPr>
        <w:t>age</w:t>
      </w:r>
      <w:r w:rsidR="003557FE" w:rsidRPr="008C37FB">
        <w:rPr>
          <w:rFonts w:asciiTheme="minorHAnsi" w:hAnsiTheme="minorHAnsi" w:cstheme="minorHAnsi"/>
          <w:sz w:val="22"/>
          <w:szCs w:val="22"/>
        </w:rPr>
        <w:t xml:space="preserve"> </w:t>
      </w:r>
      <w:r w:rsidR="00127CC3">
        <w:rPr>
          <w:rFonts w:asciiTheme="minorHAnsi" w:hAnsiTheme="minorHAnsi" w:cstheme="minorHAnsi"/>
          <w:sz w:val="22"/>
          <w:szCs w:val="22"/>
        </w:rPr>
        <w:t>at</w:t>
      </w:r>
      <w:r w:rsidR="003557FE" w:rsidRPr="008C37FB">
        <w:rPr>
          <w:rFonts w:asciiTheme="minorHAnsi" w:hAnsiTheme="minorHAnsi" w:cstheme="minorHAnsi"/>
          <w:sz w:val="22"/>
          <w:szCs w:val="22"/>
        </w:rPr>
        <w:t xml:space="preserve"> first diagnosis of </w:t>
      </w:r>
      <w:r w:rsidR="00765279">
        <w:rPr>
          <w:rFonts w:asciiTheme="minorHAnsi" w:hAnsiTheme="minorHAnsi" w:cstheme="minorHAnsi"/>
          <w:sz w:val="22"/>
          <w:szCs w:val="22"/>
        </w:rPr>
        <w:t>any</w:t>
      </w:r>
      <w:r w:rsidR="00413F89">
        <w:rPr>
          <w:rFonts w:asciiTheme="minorHAnsi" w:hAnsiTheme="minorHAnsi" w:cstheme="minorHAnsi"/>
          <w:sz w:val="22"/>
          <w:szCs w:val="22"/>
        </w:rPr>
        <w:t xml:space="preserve"> other</w:t>
      </w:r>
      <w:r w:rsidR="00765279">
        <w:rPr>
          <w:rFonts w:asciiTheme="minorHAnsi" w:hAnsiTheme="minorHAnsi" w:cstheme="minorHAnsi"/>
          <w:sz w:val="22"/>
          <w:szCs w:val="22"/>
        </w:rPr>
        <w:t xml:space="preserve"> </w:t>
      </w:r>
      <w:r w:rsidR="003557FE" w:rsidRPr="008C37FB">
        <w:rPr>
          <w:rFonts w:asciiTheme="minorHAnsi" w:hAnsiTheme="minorHAnsi" w:cstheme="minorHAnsi"/>
          <w:sz w:val="22"/>
          <w:szCs w:val="22"/>
        </w:rPr>
        <w:t>invasive cancer (excluding non-melanoma cancer), death, loss of follow-up, or mid-September 2021, whichever occurred first, unless otherwise specified.</w:t>
      </w:r>
      <w:r w:rsidR="003557FE">
        <w:rPr>
          <w:rFonts w:asciiTheme="minorHAnsi" w:hAnsiTheme="minorHAnsi" w:cstheme="minorHAnsi"/>
          <w:sz w:val="22"/>
          <w:szCs w:val="22"/>
        </w:rPr>
        <w:t xml:space="preserve"> </w:t>
      </w:r>
      <w:r w:rsidRPr="008C37FB">
        <w:rPr>
          <w:rFonts w:asciiTheme="minorHAnsi" w:hAnsiTheme="minorHAnsi" w:cstheme="minorHAnsi"/>
          <w:sz w:val="22"/>
          <w:szCs w:val="22"/>
        </w:rPr>
        <w:t>We assessed proportional hazards assumptions with plots of scaled Schoenfeld residuals against attained age, and formal testing included introducing an interaction term between exposures and attained age. No evidence of violation was found.</w:t>
      </w:r>
      <w:r w:rsidR="002D1A92">
        <w:rPr>
          <w:rFonts w:asciiTheme="minorHAnsi" w:hAnsiTheme="minorHAnsi" w:cstheme="minorHAnsi"/>
          <w:sz w:val="22"/>
          <w:szCs w:val="22"/>
        </w:rPr>
        <w:t xml:space="preserve"> We </w:t>
      </w:r>
      <w:r w:rsidR="003F73FE">
        <w:rPr>
          <w:rFonts w:asciiTheme="minorHAnsi" w:hAnsiTheme="minorHAnsi" w:cstheme="minorHAnsi"/>
          <w:sz w:val="22"/>
          <w:szCs w:val="22"/>
        </w:rPr>
        <w:t>assessed non-</w:t>
      </w:r>
      <w:r w:rsidR="002D1A92" w:rsidRPr="009B0F3F">
        <w:rPr>
          <w:rFonts w:asciiTheme="minorHAnsi" w:hAnsiTheme="minorHAnsi" w:cstheme="minorHAnsi"/>
          <w:sz w:val="22"/>
          <w:szCs w:val="22"/>
        </w:rPr>
        <w:t xml:space="preserve">linearity </w:t>
      </w:r>
      <w:r w:rsidR="00E7413F">
        <w:rPr>
          <w:rFonts w:asciiTheme="minorHAnsi" w:hAnsiTheme="minorHAnsi" w:cstheme="minorHAnsi"/>
          <w:sz w:val="22"/>
          <w:szCs w:val="22"/>
        </w:rPr>
        <w:t>in</w:t>
      </w:r>
      <w:r w:rsidR="00E7413F" w:rsidRPr="009B0F3F">
        <w:rPr>
          <w:rFonts w:asciiTheme="minorHAnsi" w:hAnsiTheme="minorHAnsi" w:cstheme="minorHAnsi"/>
          <w:sz w:val="22"/>
          <w:szCs w:val="22"/>
        </w:rPr>
        <w:t xml:space="preserve"> </w:t>
      </w:r>
      <w:r w:rsidR="002D1A92" w:rsidRPr="009B0F3F">
        <w:rPr>
          <w:rFonts w:asciiTheme="minorHAnsi" w:hAnsiTheme="minorHAnsi" w:cstheme="minorHAnsi"/>
          <w:sz w:val="22"/>
          <w:szCs w:val="22"/>
        </w:rPr>
        <w:t xml:space="preserve">the association between </w:t>
      </w:r>
      <w:r w:rsidR="002D1A92" w:rsidRPr="00A45EDC">
        <w:rPr>
          <w:rFonts w:asciiTheme="minorHAnsi" w:hAnsiTheme="minorHAnsi" w:cstheme="minorHAnsi"/>
          <w:sz w:val="22"/>
          <w:szCs w:val="22"/>
        </w:rPr>
        <w:t>continuous variables</w:t>
      </w:r>
      <w:r w:rsidR="002D1A92" w:rsidRPr="009B0F3F">
        <w:rPr>
          <w:rFonts w:asciiTheme="minorHAnsi" w:hAnsiTheme="minorHAnsi" w:cstheme="minorHAnsi"/>
          <w:sz w:val="22"/>
          <w:szCs w:val="22"/>
        </w:rPr>
        <w:t xml:space="preserve"> and </w:t>
      </w:r>
      <w:r w:rsidR="00FF4E83">
        <w:rPr>
          <w:rFonts w:asciiTheme="minorHAnsi" w:hAnsiTheme="minorHAnsi" w:cstheme="minorHAnsi"/>
          <w:sz w:val="22"/>
          <w:szCs w:val="22"/>
        </w:rPr>
        <w:t>DTC</w:t>
      </w:r>
      <w:r w:rsidR="002D1A92" w:rsidRPr="009B0F3F">
        <w:rPr>
          <w:rFonts w:asciiTheme="minorHAnsi" w:hAnsiTheme="minorHAnsi" w:cstheme="minorHAnsi"/>
          <w:sz w:val="22"/>
          <w:szCs w:val="22"/>
        </w:rPr>
        <w:t xml:space="preserve"> incidence </w:t>
      </w:r>
      <w:r w:rsidR="00204FC0">
        <w:rPr>
          <w:rFonts w:asciiTheme="minorHAnsi" w:hAnsiTheme="minorHAnsi" w:cstheme="minorHAnsi"/>
          <w:sz w:val="22"/>
          <w:szCs w:val="22"/>
        </w:rPr>
        <w:t xml:space="preserve">by </w:t>
      </w:r>
      <w:r w:rsidR="00BB4DE9" w:rsidRPr="00BB4DE9">
        <w:rPr>
          <w:rFonts w:asciiTheme="minorHAnsi" w:hAnsiTheme="minorHAnsi" w:cstheme="minorHAnsi"/>
          <w:sz w:val="22"/>
          <w:szCs w:val="22"/>
        </w:rPr>
        <w:t>visually inspecting plots of Martingale residuals against each variable</w:t>
      </w:r>
      <w:r w:rsidR="00BB4DE9">
        <w:rPr>
          <w:rFonts w:asciiTheme="minorHAnsi" w:hAnsiTheme="minorHAnsi" w:cstheme="minorHAnsi"/>
          <w:sz w:val="22"/>
          <w:szCs w:val="22"/>
        </w:rPr>
        <w:t xml:space="preserve"> and</w:t>
      </w:r>
      <w:r w:rsidR="00E7413F">
        <w:rPr>
          <w:rFonts w:asciiTheme="minorHAnsi" w:hAnsiTheme="minorHAnsi" w:cstheme="minorHAnsi"/>
          <w:sz w:val="22"/>
          <w:szCs w:val="22"/>
        </w:rPr>
        <w:t xml:space="preserve"> found no evidence of </w:t>
      </w:r>
      <w:r w:rsidR="000F5624">
        <w:rPr>
          <w:rFonts w:asciiTheme="minorHAnsi" w:hAnsiTheme="minorHAnsi" w:cstheme="minorHAnsi"/>
          <w:sz w:val="22"/>
          <w:szCs w:val="22"/>
        </w:rPr>
        <w:t>departure from linearity.</w:t>
      </w:r>
    </w:p>
    <w:p w14:paraId="02FEF7A8" w14:textId="237194F8" w:rsidR="00D41308" w:rsidRPr="008C37FB" w:rsidRDefault="00D41308" w:rsidP="00455093">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lastRenderedPageBreak/>
        <w:t xml:space="preserve">We considered health- and medical surveillance-related factors during adulthood as potential </w:t>
      </w:r>
      <w:r w:rsidR="003B7FE9">
        <w:rPr>
          <w:rFonts w:asciiTheme="minorHAnsi" w:hAnsiTheme="minorHAnsi" w:cstheme="minorHAnsi"/>
          <w:sz w:val="22"/>
          <w:szCs w:val="22"/>
        </w:rPr>
        <w:t>modifying factors</w:t>
      </w:r>
      <w:r w:rsidR="003B7FE9"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for the associations between childhood and adolescent factors and </w:t>
      </w:r>
      <w:r w:rsidR="00FF4E83">
        <w:rPr>
          <w:rFonts w:asciiTheme="minorHAnsi" w:hAnsiTheme="minorHAnsi" w:cstheme="minorHAnsi"/>
          <w:sz w:val="22"/>
          <w:szCs w:val="22"/>
        </w:rPr>
        <w:t>DTC</w:t>
      </w:r>
      <w:r w:rsidR="00892AB2">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Therefore, we conducted stratified analyses by baseline BMI, personal </w:t>
      </w:r>
      <w:r w:rsidR="00B175CF">
        <w:rPr>
          <w:rFonts w:asciiTheme="minorHAnsi" w:hAnsiTheme="minorHAnsi" w:cstheme="minorHAnsi"/>
          <w:sz w:val="22"/>
          <w:szCs w:val="22"/>
        </w:rPr>
        <w:t xml:space="preserve">attained </w:t>
      </w:r>
      <w:r w:rsidRPr="008C37FB">
        <w:rPr>
          <w:rFonts w:asciiTheme="minorHAnsi" w:hAnsiTheme="minorHAnsi" w:cstheme="minorHAnsi"/>
          <w:sz w:val="22"/>
          <w:szCs w:val="22"/>
        </w:rPr>
        <w:t xml:space="preserve">education </w:t>
      </w:r>
      <w:r w:rsidR="007A3B0E">
        <w:rPr>
          <w:rFonts w:asciiTheme="minorHAnsi" w:hAnsiTheme="minorHAnsi" w:cstheme="minorHAnsi"/>
          <w:sz w:val="22"/>
          <w:szCs w:val="22"/>
        </w:rPr>
        <w:t>level</w:t>
      </w:r>
      <w:r w:rsidRPr="008C37FB">
        <w:rPr>
          <w:rFonts w:asciiTheme="minorHAnsi" w:hAnsiTheme="minorHAnsi" w:cstheme="minorHAnsi"/>
          <w:sz w:val="22"/>
          <w:szCs w:val="22"/>
        </w:rPr>
        <w:t xml:space="preserve">, and household annual income. </w:t>
      </w:r>
      <w:r w:rsidR="00455093" w:rsidRPr="00455093">
        <w:rPr>
          <w:rFonts w:asciiTheme="minorHAnsi" w:hAnsiTheme="minorHAnsi" w:cstheme="minorHAnsi"/>
          <w:sz w:val="22"/>
          <w:szCs w:val="22"/>
        </w:rPr>
        <w:t>Tests for multiplicative interactions were conducted by including a cross‐product term in</w:t>
      </w:r>
      <w:r w:rsidR="00455093">
        <w:rPr>
          <w:rFonts w:asciiTheme="minorHAnsi" w:hAnsiTheme="minorHAnsi" w:cstheme="minorHAnsi"/>
          <w:sz w:val="22"/>
          <w:szCs w:val="22"/>
        </w:rPr>
        <w:t xml:space="preserve"> </w:t>
      </w:r>
      <w:r w:rsidR="00455093" w:rsidRPr="00455093">
        <w:rPr>
          <w:rFonts w:asciiTheme="minorHAnsi" w:hAnsiTheme="minorHAnsi" w:cstheme="minorHAnsi"/>
          <w:sz w:val="22"/>
          <w:szCs w:val="22"/>
        </w:rPr>
        <w:t>the model and evaluating the F‐test‐based P‐value. P‐values were two‐sided with an alpha of 0.05.</w:t>
      </w:r>
    </w:p>
    <w:p w14:paraId="77A1F0E8" w14:textId="13D6BA4C"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The impact of </w:t>
      </w:r>
      <w:r w:rsidR="00FF4E83">
        <w:rPr>
          <w:rFonts w:asciiTheme="minorHAnsi" w:hAnsiTheme="minorHAnsi" w:cstheme="minorHAnsi"/>
          <w:sz w:val="22"/>
          <w:szCs w:val="22"/>
        </w:rPr>
        <w:t xml:space="preserve">early-life </w:t>
      </w:r>
      <w:r w:rsidRPr="008C37FB">
        <w:rPr>
          <w:rFonts w:asciiTheme="minorHAnsi" w:hAnsiTheme="minorHAnsi" w:cstheme="minorHAnsi"/>
          <w:sz w:val="22"/>
          <w:szCs w:val="22"/>
        </w:rPr>
        <w:t>carcinogenic exposures</w:t>
      </w:r>
      <w:r w:rsidR="00FF4E83">
        <w:rPr>
          <w:rFonts w:asciiTheme="minorHAnsi" w:hAnsiTheme="minorHAnsi" w:cstheme="minorHAnsi"/>
          <w:sz w:val="22"/>
          <w:szCs w:val="22"/>
        </w:rPr>
        <w:t xml:space="preserve"> on</w:t>
      </w:r>
      <w:r w:rsidRPr="008C37FB">
        <w:rPr>
          <w:rFonts w:asciiTheme="minorHAnsi" w:hAnsiTheme="minorHAnsi" w:cstheme="minorHAnsi"/>
          <w:sz w:val="22"/>
          <w:szCs w:val="22"/>
        </w:rPr>
        <w:t xml:space="preserve"> early- and late-onset </w:t>
      </w:r>
      <w:r w:rsidR="00FF4E83">
        <w:rPr>
          <w:rFonts w:asciiTheme="minorHAnsi" w:hAnsiTheme="minorHAnsi" w:cstheme="minorHAnsi"/>
          <w:sz w:val="22"/>
          <w:szCs w:val="22"/>
        </w:rPr>
        <w:t>DTCs</w:t>
      </w:r>
      <w:r w:rsidRPr="008C37FB">
        <w:rPr>
          <w:rFonts w:asciiTheme="minorHAnsi" w:hAnsiTheme="minorHAnsi" w:cstheme="minorHAnsi"/>
          <w:sz w:val="22"/>
          <w:szCs w:val="22"/>
        </w:rPr>
        <w:t xml:space="preserve">, defined as </w:t>
      </w:r>
      <w:r w:rsidR="00FF4E83">
        <w:rPr>
          <w:rFonts w:asciiTheme="minorHAnsi" w:hAnsiTheme="minorHAnsi" w:cstheme="minorHAnsi"/>
          <w:sz w:val="22"/>
          <w:szCs w:val="22"/>
        </w:rPr>
        <w:t>diagnoses</w:t>
      </w:r>
      <w:r w:rsidRPr="008C37FB">
        <w:rPr>
          <w:rFonts w:asciiTheme="minorHAnsi" w:hAnsiTheme="minorHAnsi" w:cstheme="minorHAnsi"/>
          <w:sz w:val="22"/>
          <w:szCs w:val="22"/>
        </w:rPr>
        <w:t xml:space="preserve"> before and after 50 years of age</w:t>
      </w:r>
      <w:r w:rsidR="00FF4E83">
        <w:rPr>
          <w:rFonts w:asciiTheme="minorHAnsi" w:hAnsiTheme="minorHAnsi" w:cstheme="minorHAnsi"/>
          <w:sz w:val="22"/>
          <w:szCs w:val="22"/>
        </w:rPr>
        <w:t>, may vary.</w:t>
      </w:r>
      <w:r w:rsidRPr="008C37FB">
        <w:rPr>
          <w:rFonts w:asciiTheme="minorHAnsi" w:hAnsiTheme="minorHAnsi" w:cstheme="minorHAnsi"/>
          <w:sz w:val="22"/>
          <w:szCs w:val="22"/>
        </w:rPr>
        <w:t xml:space="preserve"> </w:t>
      </w:r>
      <w:r w:rsidR="00D97A68">
        <w:rPr>
          <w:rFonts w:asciiTheme="minorHAnsi" w:hAnsiTheme="minorHAnsi" w:cstheme="minorHAnsi"/>
          <w:sz w:val="22"/>
          <w:szCs w:val="22"/>
        </w:rPr>
        <w:t>Hence</w:t>
      </w:r>
      <w:r w:rsidRPr="008C37FB">
        <w:rPr>
          <w:rFonts w:asciiTheme="minorHAnsi" w:hAnsiTheme="minorHAnsi" w:cstheme="minorHAnsi"/>
          <w:sz w:val="22"/>
          <w:szCs w:val="22"/>
        </w:rPr>
        <w:t xml:space="preserve">, we </w:t>
      </w:r>
      <w:r w:rsidR="00D97A68">
        <w:rPr>
          <w:rFonts w:asciiTheme="minorHAnsi" w:hAnsiTheme="minorHAnsi" w:cstheme="minorHAnsi"/>
          <w:sz w:val="22"/>
          <w:szCs w:val="22"/>
        </w:rPr>
        <w:t>performed</w:t>
      </w:r>
      <w:r w:rsidR="00D97A68" w:rsidRPr="008C37FB">
        <w:rPr>
          <w:rFonts w:asciiTheme="minorHAnsi" w:hAnsiTheme="minorHAnsi" w:cstheme="minorHAnsi"/>
          <w:sz w:val="22"/>
          <w:szCs w:val="22"/>
        </w:rPr>
        <w:t xml:space="preserve"> </w:t>
      </w:r>
      <w:r w:rsidRPr="008C37FB">
        <w:rPr>
          <w:rFonts w:asciiTheme="minorHAnsi" w:hAnsiTheme="minorHAnsi" w:cstheme="minorHAnsi"/>
          <w:sz w:val="22"/>
          <w:szCs w:val="22"/>
        </w:rPr>
        <w:t>a sensitivity analysis</w:t>
      </w:r>
      <w:r w:rsidR="00FF4E83">
        <w:rPr>
          <w:rFonts w:asciiTheme="minorHAnsi" w:hAnsiTheme="minorHAnsi" w:cstheme="minorHAnsi"/>
          <w:sz w:val="22"/>
          <w:szCs w:val="22"/>
        </w:rPr>
        <w:t xml:space="preserve"> assessing </w:t>
      </w:r>
      <w:r w:rsidRPr="008C37FB">
        <w:rPr>
          <w:rFonts w:asciiTheme="minorHAnsi" w:hAnsiTheme="minorHAnsi" w:cstheme="minorHAnsi"/>
          <w:sz w:val="22"/>
          <w:szCs w:val="22"/>
        </w:rPr>
        <w:t>early</w:t>
      </w:r>
      <w:r w:rsidR="00FF4E83">
        <w:rPr>
          <w:rFonts w:asciiTheme="minorHAnsi" w:hAnsiTheme="minorHAnsi" w:cstheme="minorHAnsi"/>
          <w:sz w:val="22"/>
          <w:szCs w:val="22"/>
        </w:rPr>
        <w:t>-</w:t>
      </w:r>
      <w:r w:rsidRPr="008C37FB">
        <w:rPr>
          <w:rFonts w:asciiTheme="minorHAnsi" w:hAnsiTheme="minorHAnsi" w:cstheme="minorHAnsi"/>
          <w:sz w:val="22"/>
          <w:szCs w:val="22"/>
        </w:rPr>
        <w:t xml:space="preserve"> and late-onset </w:t>
      </w:r>
      <w:r w:rsidR="00FF4E83">
        <w:rPr>
          <w:rFonts w:asciiTheme="minorHAnsi" w:hAnsiTheme="minorHAnsi" w:cstheme="minorHAnsi"/>
          <w:sz w:val="22"/>
          <w:szCs w:val="22"/>
        </w:rPr>
        <w:t>DTCs</w:t>
      </w:r>
      <w:r w:rsidR="00FF4E83"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separately. </w:t>
      </w:r>
      <w:r w:rsidR="00F701BA" w:rsidRPr="008C37FB">
        <w:rPr>
          <w:rFonts w:asciiTheme="minorHAnsi" w:hAnsiTheme="minorHAnsi" w:cstheme="minorHAnsi"/>
          <w:sz w:val="22"/>
          <w:szCs w:val="22"/>
        </w:rPr>
        <w:t xml:space="preserve">For the early-onset </w:t>
      </w:r>
      <w:r w:rsidR="00F701BA">
        <w:rPr>
          <w:rFonts w:asciiTheme="minorHAnsi" w:hAnsiTheme="minorHAnsi" w:cstheme="minorHAnsi"/>
          <w:sz w:val="22"/>
          <w:szCs w:val="22"/>
        </w:rPr>
        <w:t xml:space="preserve">DTC </w:t>
      </w:r>
      <w:r w:rsidR="00F701BA" w:rsidRPr="008C37FB">
        <w:rPr>
          <w:rFonts w:asciiTheme="minorHAnsi" w:hAnsiTheme="minorHAnsi" w:cstheme="minorHAnsi"/>
          <w:sz w:val="22"/>
          <w:szCs w:val="22"/>
        </w:rPr>
        <w:t xml:space="preserve">analysis, we included only individuals under 50 at baseline, </w:t>
      </w:r>
      <w:r w:rsidR="00F701BA">
        <w:rPr>
          <w:rFonts w:asciiTheme="minorHAnsi" w:hAnsiTheme="minorHAnsi" w:cstheme="minorHAnsi"/>
          <w:sz w:val="22"/>
          <w:szCs w:val="22"/>
        </w:rPr>
        <w:t xml:space="preserve">and censored them at 50 years. </w:t>
      </w:r>
      <w:r w:rsidRPr="008C37FB">
        <w:rPr>
          <w:rFonts w:asciiTheme="minorHAnsi" w:hAnsiTheme="minorHAnsi" w:cstheme="minorHAnsi"/>
          <w:sz w:val="22"/>
          <w:szCs w:val="22"/>
        </w:rPr>
        <w:t xml:space="preserve">For the late-onset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 xml:space="preserve">analysis, </w:t>
      </w:r>
      <w:r w:rsidR="00D86D7B">
        <w:rPr>
          <w:rFonts w:asciiTheme="minorHAnsi" w:hAnsiTheme="minorHAnsi" w:cstheme="minorHAnsi"/>
          <w:sz w:val="22"/>
          <w:szCs w:val="22"/>
        </w:rPr>
        <w:t xml:space="preserve">follow-up time </w:t>
      </w:r>
      <w:r w:rsidR="008A48AE">
        <w:rPr>
          <w:rFonts w:asciiTheme="minorHAnsi" w:hAnsiTheme="minorHAnsi" w:cstheme="minorHAnsi"/>
          <w:sz w:val="22"/>
          <w:szCs w:val="22"/>
        </w:rPr>
        <w:t>began at age 50 for</w:t>
      </w:r>
      <w:r w:rsidR="008D3799">
        <w:rPr>
          <w:rFonts w:asciiTheme="minorHAnsi" w:hAnsiTheme="minorHAnsi" w:cstheme="minorHAnsi"/>
          <w:sz w:val="22"/>
          <w:szCs w:val="22"/>
        </w:rPr>
        <w:t xml:space="preserve"> </w:t>
      </w:r>
      <w:r w:rsidR="00D86D7B">
        <w:rPr>
          <w:rFonts w:asciiTheme="minorHAnsi" w:hAnsiTheme="minorHAnsi" w:cstheme="minorHAnsi"/>
          <w:sz w:val="22"/>
          <w:szCs w:val="22"/>
        </w:rPr>
        <w:t xml:space="preserve">individuals </w:t>
      </w:r>
      <w:r w:rsidR="008A48AE">
        <w:rPr>
          <w:rFonts w:asciiTheme="minorHAnsi" w:hAnsiTheme="minorHAnsi" w:cstheme="minorHAnsi"/>
          <w:sz w:val="22"/>
          <w:szCs w:val="22"/>
        </w:rPr>
        <w:t xml:space="preserve">who </w:t>
      </w:r>
      <w:r w:rsidR="008D3799">
        <w:rPr>
          <w:rFonts w:asciiTheme="minorHAnsi" w:hAnsiTheme="minorHAnsi" w:cstheme="minorHAnsi"/>
          <w:sz w:val="22"/>
          <w:szCs w:val="22"/>
        </w:rPr>
        <w:t>turn</w:t>
      </w:r>
      <w:r w:rsidR="002C3592">
        <w:rPr>
          <w:rFonts w:asciiTheme="minorHAnsi" w:hAnsiTheme="minorHAnsi" w:cstheme="minorHAnsi"/>
          <w:sz w:val="22"/>
          <w:szCs w:val="22"/>
        </w:rPr>
        <w:t>ed</w:t>
      </w:r>
      <w:r w:rsidR="008D3799">
        <w:rPr>
          <w:rFonts w:asciiTheme="minorHAnsi" w:hAnsiTheme="minorHAnsi" w:cstheme="minorHAnsi"/>
          <w:sz w:val="22"/>
          <w:szCs w:val="22"/>
        </w:rPr>
        <w:t xml:space="preserve"> 50 during </w:t>
      </w:r>
      <w:r w:rsidR="00E24C4A">
        <w:rPr>
          <w:rFonts w:asciiTheme="minorHAnsi" w:hAnsiTheme="minorHAnsi" w:cstheme="minorHAnsi"/>
          <w:sz w:val="22"/>
          <w:szCs w:val="22"/>
        </w:rPr>
        <w:t>the study</w:t>
      </w:r>
      <w:r w:rsidR="008D3799">
        <w:rPr>
          <w:rFonts w:asciiTheme="minorHAnsi" w:hAnsiTheme="minorHAnsi" w:cstheme="minorHAnsi"/>
          <w:sz w:val="22"/>
          <w:szCs w:val="22"/>
        </w:rPr>
        <w:t xml:space="preserve"> </w:t>
      </w:r>
      <w:r w:rsidR="008A48AE">
        <w:rPr>
          <w:rFonts w:asciiTheme="minorHAnsi" w:hAnsiTheme="minorHAnsi" w:cstheme="minorHAnsi"/>
          <w:sz w:val="22"/>
          <w:szCs w:val="22"/>
        </w:rPr>
        <w:t xml:space="preserve">period or age at baseline for those entering the study over age </w:t>
      </w:r>
      <w:r w:rsidRPr="008C37FB">
        <w:rPr>
          <w:rFonts w:asciiTheme="minorHAnsi" w:hAnsiTheme="minorHAnsi" w:cstheme="minorHAnsi"/>
          <w:sz w:val="22"/>
          <w:szCs w:val="22"/>
        </w:rPr>
        <w:t xml:space="preserve">50. We also performed sensitivity analyses restricted to medically confirmed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cases and papillary thyroid carcinomas, separately. Lastly, we calculated E-values for both the observed association estimates and the limit of the confidence interval closest to the null. The E-value is defined as the minimum strength of association that an unmeasured confounder would need to have with both the exposure and the outcome, conditional on the measured covariates, to fully explain the observed associations.</w:t>
      </w:r>
      <w:r w:rsidR="005746E9" w:rsidRPr="00A45EDC">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aXB0Ij4zMywzNDwvc3R5bGU+PC9EaXNwbGF5VGV4dD48cmVjb3JkPjxyZWMtbnVtYmVyPjM2Mjwv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aXB0Ij4zMywzNDwvc3R5bGU+PC9EaXNwbGF5VGV4dD48cmVjb3JkPjxyZWMtbnVtYmVyPjM2Mjwv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5746E9" w:rsidRPr="00A45EDC">
        <w:rPr>
          <w:rFonts w:asciiTheme="minorHAnsi" w:hAnsiTheme="minorHAnsi" w:cstheme="minorHAnsi"/>
          <w:sz w:val="22"/>
          <w:szCs w:val="22"/>
        </w:rPr>
      </w:r>
      <w:r w:rsidR="005746E9" w:rsidRPr="00A45EDC">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33,34</w:t>
      </w:r>
      <w:r w:rsidR="005746E9" w:rsidRPr="00A45EDC">
        <w:rPr>
          <w:rFonts w:asciiTheme="minorHAnsi" w:hAnsiTheme="minorHAnsi" w:cstheme="minorHAnsi"/>
          <w:sz w:val="22"/>
          <w:szCs w:val="22"/>
        </w:rPr>
        <w:fldChar w:fldCharType="end"/>
      </w:r>
      <w:r w:rsidRPr="008C37FB">
        <w:rPr>
          <w:rFonts w:asciiTheme="minorHAnsi" w:hAnsiTheme="minorHAnsi" w:cstheme="minorHAnsi"/>
          <w:sz w:val="22"/>
          <w:szCs w:val="22"/>
        </w:rPr>
        <w:t xml:space="preserve"> </w:t>
      </w:r>
    </w:p>
    <w:p w14:paraId="45084EED" w14:textId="1BC792BD" w:rsidR="00930FB0"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Data analyses were conducted using SAS 9.4 and R version 4.3.1.</w:t>
      </w:r>
    </w:p>
    <w:p w14:paraId="13859F77" w14:textId="77777777" w:rsidR="006F1B98" w:rsidRPr="008C37FB" w:rsidRDefault="006F1B98" w:rsidP="003C77CE">
      <w:pPr>
        <w:pStyle w:val="Heading1"/>
      </w:pPr>
      <w:r w:rsidRPr="008C37FB">
        <w:t>Results</w:t>
      </w:r>
    </w:p>
    <w:p w14:paraId="47A4152E" w14:textId="0C0E875F" w:rsidR="00D41308" w:rsidRPr="008C37FB" w:rsidRDefault="005746E9"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1</w:t>
      </w:r>
      <w:r w:rsidRPr="008C37FB">
        <w:rPr>
          <w:rFonts w:asciiTheme="minorHAnsi" w:hAnsiTheme="minorHAnsi" w:cstheme="minorHAnsi"/>
          <w:sz w:val="22"/>
          <w:szCs w:val="22"/>
        </w:rPr>
        <w:t xml:space="preserve"> presents the baseline descriptive statistics. </w:t>
      </w:r>
      <w:r w:rsidR="00D41308" w:rsidRPr="008C37FB">
        <w:rPr>
          <w:rFonts w:asciiTheme="minorHAnsi" w:hAnsiTheme="minorHAnsi" w:cstheme="minorHAnsi"/>
          <w:sz w:val="22"/>
          <w:szCs w:val="22"/>
        </w:rPr>
        <w:t>The median age at baseline was 55.4 years (</w:t>
      </w:r>
      <w:r w:rsidR="00A618E1">
        <w:rPr>
          <w:rFonts w:asciiTheme="minorHAnsi" w:hAnsiTheme="minorHAnsi" w:cstheme="minorHAnsi"/>
          <w:sz w:val="22"/>
          <w:szCs w:val="22"/>
        </w:rPr>
        <w:t>interquartile range</w:t>
      </w:r>
      <w:r w:rsidR="00E77D26">
        <w:rPr>
          <w:rFonts w:asciiTheme="minorHAnsi" w:hAnsiTheme="minorHAnsi" w:cstheme="minorHAnsi"/>
          <w:sz w:val="22"/>
          <w:szCs w:val="22"/>
        </w:rPr>
        <w:t xml:space="preserve"> [</w:t>
      </w:r>
      <w:r w:rsidR="00D41308" w:rsidRPr="008C37FB">
        <w:rPr>
          <w:rFonts w:asciiTheme="minorHAnsi" w:hAnsiTheme="minorHAnsi" w:cstheme="minorHAnsi"/>
          <w:sz w:val="22"/>
          <w:szCs w:val="22"/>
        </w:rPr>
        <w:t>IQR</w:t>
      </w:r>
      <w:r w:rsidR="00E77D26">
        <w:rPr>
          <w:rFonts w:asciiTheme="minorHAnsi" w:hAnsiTheme="minorHAnsi" w:cstheme="minorHAnsi"/>
          <w:sz w:val="22"/>
          <w:szCs w:val="22"/>
        </w:rPr>
        <w:t>]</w:t>
      </w:r>
      <w:r w:rsidR="00D41308" w:rsidRPr="008C37FB">
        <w:rPr>
          <w:rFonts w:asciiTheme="minorHAnsi" w:hAnsiTheme="minorHAnsi" w:cstheme="minorHAnsi"/>
          <w:sz w:val="22"/>
          <w:szCs w:val="22"/>
        </w:rPr>
        <w:t>: 48.9-62.1). Most women were non-Hispanic White (n=39,</w:t>
      </w:r>
      <w:r>
        <w:rPr>
          <w:rFonts w:asciiTheme="minorHAnsi" w:hAnsiTheme="minorHAnsi" w:cstheme="minorHAnsi"/>
          <w:sz w:val="22"/>
          <w:szCs w:val="22"/>
        </w:rPr>
        <w:t>947</w:t>
      </w:r>
      <w:r w:rsidR="00D41308" w:rsidRPr="008C37FB">
        <w:rPr>
          <w:rFonts w:asciiTheme="minorHAnsi" w:hAnsiTheme="minorHAnsi" w:cstheme="minorHAnsi"/>
          <w:sz w:val="22"/>
          <w:szCs w:val="22"/>
        </w:rPr>
        <w:t>, 83.4%), and 61.7% (n=</w:t>
      </w:r>
      <w:r w:rsidRPr="008C37FB">
        <w:rPr>
          <w:rFonts w:asciiTheme="minorHAnsi" w:hAnsiTheme="minorHAnsi" w:cstheme="minorHAnsi"/>
          <w:sz w:val="22"/>
          <w:szCs w:val="22"/>
        </w:rPr>
        <w:t>29</w:t>
      </w:r>
      <w:r>
        <w:rPr>
          <w:rFonts w:asciiTheme="minorHAnsi" w:hAnsiTheme="minorHAnsi" w:cstheme="minorHAnsi"/>
          <w:sz w:val="22"/>
          <w:szCs w:val="22"/>
        </w:rPr>
        <w:t>,566</w:t>
      </w:r>
      <w:r w:rsidR="00D41308" w:rsidRPr="008C37FB">
        <w:rPr>
          <w:rFonts w:asciiTheme="minorHAnsi" w:hAnsiTheme="minorHAnsi" w:cstheme="minorHAnsi"/>
          <w:sz w:val="22"/>
          <w:szCs w:val="22"/>
        </w:rPr>
        <w:t>) ha</w:t>
      </w:r>
      <w:r w:rsidR="00D97A68">
        <w:rPr>
          <w:rFonts w:asciiTheme="minorHAnsi" w:hAnsiTheme="minorHAnsi" w:cstheme="minorHAnsi"/>
          <w:sz w:val="22"/>
          <w:szCs w:val="22"/>
        </w:rPr>
        <w:t>d</w:t>
      </w:r>
      <w:r w:rsidR="00D41308" w:rsidRPr="008C37FB">
        <w:rPr>
          <w:rFonts w:asciiTheme="minorHAnsi" w:hAnsiTheme="minorHAnsi" w:cstheme="minorHAnsi"/>
          <w:sz w:val="22"/>
          <w:szCs w:val="22"/>
        </w:rPr>
        <w:t xml:space="preserve"> a BMI </w:t>
      </w:r>
      <w:r w:rsidR="00D97A68">
        <w:rPr>
          <w:rFonts w:asciiTheme="minorHAnsi" w:hAnsiTheme="minorHAnsi" w:cstheme="minorHAnsi"/>
          <w:sz w:val="22"/>
          <w:szCs w:val="22"/>
        </w:rPr>
        <w:t>of</w:t>
      </w:r>
      <w:r w:rsidR="00D41308" w:rsidRPr="008C37FB">
        <w:rPr>
          <w:rFonts w:asciiTheme="minorHAnsi" w:hAnsiTheme="minorHAnsi" w:cstheme="minorHAnsi"/>
          <w:sz w:val="22"/>
          <w:szCs w:val="22"/>
        </w:rPr>
        <w:t xml:space="preserve"> 25</w:t>
      </w:r>
      <w:r w:rsidR="00D97A68">
        <w:rPr>
          <w:rFonts w:asciiTheme="minorHAnsi" w:hAnsiTheme="minorHAnsi" w:cstheme="minorHAnsi"/>
          <w:sz w:val="22"/>
          <w:szCs w:val="22"/>
        </w:rPr>
        <w:t xml:space="preserve"> </w:t>
      </w:r>
      <w:r w:rsidR="0099669B">
        <w:rPr>
          <w:rFonts w:asciiTheme="minorHAnsi" w:hAnsiTheme="minorHAnsi" w:cstheme="minorHAnsi"/>
          <w:sz w:val="22"/>
          <w:szCs w:val="22"/>
        </w:rPr>
        <w:t>or more</w:t>
      </w:r>
      <w:r w:rsidR="00D41308" w:rsidRPr="008C37FB">
        <w:rPr>
          <w:rFonts w:asciiTheme="minorHAnsi" w:hAnsiTheme="minorHAnsi" w:cstheme="minorHAnsi"/>
          <w:sz w:val="22"/>
          <w:szCs w:val="22"/>
        </w:rPr>
        <w:t>. Over half of the participants held a bachelor's degree or higher (n=24,</w:t>
      </w:r>
      <w:r w:rsidRPr="008C37FB">
        <w:rPr>
          <w:rFonts w:asciiTheme="minorHAnsi" w:hAnsiTheme="minorHAnsi" w:cstheme="minorHAnsi"/>
          <w:sz w:val="22"/>
          <w:szCs w:val="22"/>
        </w:rPr>
        <w:t>4</w:t>
      </w:r>
      <w:r>
        <w:rPr>
          <w:rFonts w:asciiTheme="minorHAnsi" w:hAnsiTheme="minorHAnsi" w:cstheme="minorHAnsi"/>
          <w:sz w:val="22"/>
          <w:szCs w:val="22"/>
        </w:rPr>
        <w:t>50</w:t>
      </w:r>
      <w:r w:rsidR="00D41308" w:rsidRPr="008C37FB">
        <w:rPr>
          <w:rFonts w:asciiTheme="minorHAnsi" w:hAnsiTheme="minorHAnsi" w:cstheme="minorHAnsi"/>
          <w:sz w:val="22"/>
          <w:szCs w:val="22"/>
        </w:rPr>
        <w:t>, 51.</w:t>
      </w:r>
      <w:r>
        <w:rPr>
          <w:rFonts w:asciiTheme="minorHAnsi" w:hAnsiTheme="minorHAnsi" w:cstheme="minorHAnsi"/>
          <w:sz w:val="22"/>
          <w:szCs w:val="22"/>
        </w:rPr>
        <w:t>0</w:t>
      </w:r>
      <w:r w:rsidR="00D41308" w:rsidRPr="008C37FB">
        <w:rPr>
          <w:rFonts w:asciiTheme="minorHAnsi" w:hAnsiTheme="minorHAnsi" w:cstheme="minorHAnsi"/>
          <w:sz w:val="22"/>
          <w:szCs w:val="22"/>
        </w:rPr>
        <w:t>%), while 33.7% reported a household annual income of $100,000 or more (n=16,</w:t>
      </w:r>
      <w:r w:rsidRPr="008C37FB">
        <w:rPr>
          <w:rFonts w:asciiTheme="minorHAnsi" w:hAnsiTheme="minorHAnsi" w:cstheme="minorHAnsi"/>
          <w:sz w:val="22"/>
          <w:szCs w:val="22"/>
        </w:rPr>
        <w:t>1</w:t>
      </w:r>
      <w:r>
        <w:rPr>
          <w:rFonts w:asciiTheme="minorHAnsi" w:hAnsiTheme="minorHAnsi" w:cstheme="minorHAnsi"/>
          <w:sz w:val="22"/>
          <w:szCs w:val="22"/>
        </w:rPr>
        <w:t>61</w:t>
      </w:r>
      <w:r w:rsidR="00D41308" w:rsidRPr="008C37FB">
        <w:rPr>
          <w:rFonts w:asciiTheme="minorHAnsi" w:hAnsiTheme="minorHAnsi" w:cstheme="minorHAnsi"/>
          <w:sz w:val="22"/>
          <w:szCs w:val="22"/>
        </w:rPr>
        <w:t>).</w:t>
      </w:r>
    </w:p>
    <w:p w14:paraId="7CCD5F52" w14:textId="3691E2E5" w:rsidR="00D41308" w:rsidRPr="008C37FB" w:rsidRDefault="00D41308"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2</w:t>
      </w:r>
      <w:r w:rsidRPr="008C37FB">
        <w:rPr>
          <w:rFonts w:asciiTheme="minorHAnsi" w:hAnsiTheme="minorHAnsi" w:cstheme="minorHAnsi"/>
          <w:sz w:val="22"/>
          <w:szCs w:val="22"/>
        </w:rPr>
        <w:t xml:space="preserve"> shows multivariable-adjusted HRs for childhood and adolescent factors and DTC incidence. During follow-up (median 13.1 years, interquartile range, IQR 11.5-15), </w:t>
      </w:r>
      <w:r w:rsidR="005B4EF3">
        <w:rPr>
          <w:rFonts w:asciiTheme="minorHAnsi" w:hAnsiTheme="minorHAnsi" w:cstheme="minorHAnsi"/>
          <w:sz w:val="22"/>
          <w:szCs w:val="22"/>
        </w:rPr>
        <w:t xml:space="preserve">there were </w:t>
      </w:r>
      <w:r w:rsidRPr="008C37FB">
        <w:rPr>
          <w:rFonts w:asciiTheme="minorHAnsi" w:hAnsiTheme="minorHAnsi" w:cstheme="minorHAnsi"/>
          <w:sz w:val="22"/>
          <w:szCs w:val="22"/>
        </w:rPr>
        <w:t xml:space="preserve">239 </w:t>
      </w:r>
      <w:r w:rsidR="006C34E0">
        <w:rPr>
          <w:rFonts w:asciiTheme="minorHAnsi" w:hAnsiTheme="minorHAnsi" w:cstheme="minorHAnsi"/>
          <w:sz w:val="22"/>
          <w:szCs w:val="22"/>
        </w:rPr>
        <w:t xml:space="preserve">reported </w:t>
      </w:r>
      <w:r w:rsidRPr="008C37FB">
        <w:rPr>
          <w:rFonts w:asciiTheme="minorHAnsi" w:hAnsiTheme="minorHAnsi" w:cstheme="minorHAnsi"/>
          <w:sz w:val="22"/>
          <w:szCs w:val="22"/>
        </w:rPr>
        <w:lastRenderedPageBreak/>
        <w:t xml:space="preserve">cases of incident DTC. </w:t>
      </w:r>
      <w:r w:rsidR="0043611A">
        <w:rPr>
          <w:rFonts w:asciiTheme="minorHAnsi" w:hAnsiTheme="minorHAnsi" w:cstheme="minorHAnsi"/>
          <w:sz w:val="22"/>
          <w:szCs w:val="22"/>
        </w:rPr>
        <w:t>Being</w:t>
      </w:r>
      <w:r w:rsidRPr="008C37FB">
        <w:rPr>
          <w:rFonts w:asciiTheme="minorHAnsi" w:hAnsiTheme="minorHAnsi" w:cstheme="minorHAnsi"/>
          <w:sz w:val="22"/>
          <w:szCs w:val="22"/>
        </w:rPr>
        <w:t xml:space="preserve"> taller than peers at age 10</w:t>
      </w:r>
      <w:r w:rsidR="0043611A">
        <w:rPr>
          <w:rFonts w:asciiTheme="minorHAnsi" w:hAnsiTheme="minorHAnsi" w:cstheme="minorHAnsi"/>
          <w:sz w:val="22"/>
          <w:szCs w:val="22"/>
        </w:rPr>
        <w:t xml:space="preserve"> was associated with </w:t>
      </w:r>
      <w:r w:rsidR="00F82DF5">
        <w:rPr>
          <w:rFonts w:asciiTheme="minorHAnsi" w:hAnsiTheme="minorHAnsi" w:cstheme="minorHAnsi"/>
          <w:sz w:val="22"/>
          <w:szCs w:val="22"/>
        </w:rPr>
        <w:t>DTC incidence</w:t>
      </w:r>
      <w:r w:rsidR="00E60B9E">
        <w:rPr>
          <w:rFonts w:asciiTheme="minorHAnsi" w:hAnsiTheme="minorHAnsi" w:cstheme="minorHAnsi"/>
          <w:sz w:val="22"/>
          <w:szCs w:val="22"/>
        </w:rPr>
        <w:t xml:space="preserve"> </w:t>
      </w:r>
      <w:r w:rsidRPr="008C37FB">
        <w:rPr>
          <w:rFonts w:asciiTheme="minorHAnsi" w:hAnsiTheme="minorHAnsi" w:cstheme="minorHAnsi"/>
          <w:sz w:val="22"/>
          <w:szCs w:val="22"/>
        </w:rPr>
        <w:t>(HR=1.41; 95%CI 1.06–1.89)</w:t>
      </w:r>
      <w:r w:rsidR="00E60B9E">
        <w:rPr>
          <w:rFonts w:asciiTheme="minorHAnsi" w:hAnsiTheme="minorHAnsi" w:cstheme="minorHAnsi"/>
          <w:sz w:val="22"/>
          <w:szCs w:val="22"/>
        </w:rPr>
        <w:t>.</w:t>
      </w:r>
      <w:r w:rsidR="00A62282">
        <w:rPr>
          <w:rFonts w:asciiTheme="minorHAnsi" w:hAnsiTheme="minorHAnsi" w:cstheme="minorHAnsi"/>
          <w:sz w:val="22"/>
          <w:szCs w:val="22"/>
        </w:rPr>
        <w:t xml:space="preserve"> Women who were either</w:t>
      </w:r>
      <w:r w:rsidRPr="008C37FB">
        <w:rPr>
          <w:rFonts w:asciiTheme="minorHAnsi" w:hAnsiTheme="minorHAnsi" w:cstheme="minorHAnsi"/>
          <w:sz w:val="22"/>
          <w:szCs w:val="22"/>
        </w:rPr>
        <w:t xml:space="preserve"> lighter (HR=1.37, 95%CI 0.97-1.91) or heavier </w:t>
      </w:r>
      <w:r w:rsidR="00D76164" w:rsidRPr="008C37FB">
        <w:rPr>
          <w:rFonts w:asciiTheme="minorHAnsi" w:hAnsiTheme="minorHAnsi" w:cstheme="minorHAnsi"/>
          <w:sz w:val="22"/>
          <w:szCs w:val="22"/>
        </w:rPr>
        <w:t xml:space="preserve">(HR=1.28, 95%CI 0.96-1.71) </w:t>
      </w:r>
      <w:r w:rsidRPr="008C37FB">
        <w:rPr>
          <w:rFonts w:asciiTheme="minorHAnsi" w:hAnsiTheme="minorHAnsi" w:cstheme="minorHAnsi"/>
          <w:sz w:val="22"/>
          <w:szCs w:val="22"/>
        </w:rPr>
        <w:t xml:space="preserve">than peers during </w:t>
      </w:r>
      <w:r w:rsidR="00701E26">
        <w:rPr>
          <w:rFonts w:asciiTheme="minorHAnsi" w:hAnsiTheme="minorHAnsi" w:cstheme="minorHAnsi"/>
          <w:sz w:val="22"/>
          <w:szCs w:val="22"/>
        </w:rPr>
        <w:t>teen years</w:t>
      </w:r>
      <w:r w:rsidRPr="008C37FB">
        <w:rPr>
          <w:rFonts w:asciiTheme="minorHAnsi" w:hAnsiTheme="minorHAnsi" w:cstheme="minorHAnsi"/>
          <w:sz w:val="22"/>
          <w:szCs w:val="22"/>
        </w:rPr>
        <w:t xml:space="preserve"> </w:t>
      </w:r>
      <w:r w:rsidR="00A62282">
        <w:rPr>
          <w:rFonts w:asciiTheme="minorHAnsi" w:hAnsiTheme="minorHAnsi" w:cstheme="minorHAnsi"/>
          <w:sz w:val="22"/>
          <w:szCs w:val="22"/>
        </w:rPr>
        <w:t>had</w:t>
      </w:r>
      <w:r w:rsidR="0012626C">
        <w:rPr>
          <w:rFonts w:asciiTheme="minorHAnsi" w:hAnsiTheme="minorHAnsi" w:cstheme="minorHAnsi"/>
          <w:sz w:val="22"/>
          <w:szCs w:val="22"/>
        </w:rPr>
        <w:t xml:space="preserve"> higher DTC incidence, although the </w:t>
      </w:r>
      <w:r w:rsidR="00E30A31">
        <w:rPr>
          <w:rFonts w:asciiTheme="minorHAnsi" w:hAnsiTheme="minorHAnsi" w:cstheme="minorHAnsi"/>
          <w:sz w:val="22"/>
          <w:szCs w:val="22"/>
        </w:rPr>
        <w:t xml:space="preserve">associations </w:t>
      </w:r>
      <w:r w:rsidR="0043611A">
        <w:rPr>
          <w:rFonts w:asciiTheme="minorHAnsi" w:hAnsiTheme="minorHAnsi" w:cstheme="minorHAnsi"/>
          <w:sz w:val="22"/>
          <w:szCs w:val="22"/>
        </w:rPr>
        <w:t>were not</w:t>
      </w:r>
      <w:r w:rsidR="00E30A31">
        <w:rPr>
          <w:rFonts w:asciiTheme="minorHAnsi" w:hAnsiTheme="minorHAnsi" w:cstheme="minorHAnsi"/>
          <w:sz w:val="22"/>
          <w:szCs w:val="22"/>
        </w:rPr>
        <w:t xml:space="preserve"> statistically significan</w:t>
      </w:r>
      <w:r w:rsidR="0043611A">
        <w:rPr>
          <w:rFonts w:asciiTheme="minorHAnsi" w:hAnsiTheme="minorHAnsi" w:cstheme="minorHAnsi"/>
          <w:sz w:val="22"/>
          <w:szCs w:val="22"/>
        </w:rPr>
        <w:t>t</w:t>
      </w:r>
      <w:r w:rsidRPr="008C37FB">
        <w:rPr>
          <w:rFonts w:asciiTheme="minorHAnsi" w:hAnsiTheme="minorHAnsi" w:cstheme="minorHAnsi"/>
          <w:sz w:val="22"/>
          <w:szCs w:val="22"/>
        </w:rPr>
        <w:t>. Ever not having enough to eat during childhood was associated with a higher DTC incidence</w:t>
      </w:r>
      <w:r w:rsidR="00172934">
        <w:rPr>
          <w:rFonts w:asciiTheme="minorHAnsi" w:hAnsiTheme="minorHAnsi" w:cstheme="minorHAnsi"/>
          <w:sz w:val="22"/>
          <w:szCs w:val="22"/>
        </w:rPr>
        <w:t xml:space="preserve"> </w:t>
      </w:r>
      <w:r w:rsidR="00172934" w:rsidRPr="008C37FB">
        <w:rPr>
          <w:rFonts w:asciiTheme="minorHAnsi" w:hAnsiTheme="minorHAnsi" w:cstheme="minorHAnsi"/>
          <w:sz w:val="22"/>
          <w:szCs w:val="22"/>
        </w:rPr>
        <w:t>(HR=1.67, 95%CI 1.15–2.43)</w:t>
      </w:r>
      <w:r w:rsidRPr="008C37FB">
        <w:rPr>
          <w:rFonts w:asciiTheme="minorHAnsi" w:hAnsiTheme="minorHAnsi" w:cstheme="minorHAnsi"/>
          <w:sz w:val="22"/>
          <w:szCs w:val="22"/>
        </w:rPr>
        <w:t xml:space="preserve">. </w:t>
      </w:r>
      <w:r w:rsidR="00074618">
        <w:rPr>
          <w:rFonts w:asciiTheme="minorHAnsi" w:hAnsiTheme="minorHAnsi" w:cstheme="minorHAnsi"/>
          <w:sz w:val="22"/>
          <w:szCs w:val="22"/>
        </w:rPr>
        <w:t>Moreover</w:t>
      </w:r>
      <w:r w:rsidRPr="008C37FB">
        <w:rPr>
          <w:rFonts w:asciiTheme="minorHAnsi" w:hAnsiTheme="minorHAnsi" w:cstheme="minorHAnsi"/>
          <w:sz w:val="22"/>
          <w:szCs w:val="22"/>
        </w:rPr>
        <w:t>, women from household</w:t>
      </w:r>
      <w:r w:rsidR="00172934">
        <w:rPr>
          <w:rFonts w:asciiTheme="minorHAnsi" w:hAnsiTheme="minorHAnsi" w:cstheme="minorHAnsi"/>
          <w:sz w:val="22"/>
          <w:szCs w:val="22"/>
        </w:rPr>
        <w:t>s</w:t>
      </w:r>
      <w:r w:rsidRPr="008C37FB">
        <w:rPr>
          <w:rFonts w:asciiTheme="minorHAnsi" w:hAnsiTheme="minorHAnsi" w:cstheme="minorHAnsi"/>
          <w:sz w:val="22"/>
          <w:szCs w:val="22"/>
        </w:rPr>
        <w:t xml:space="preserve"> where the highest education level at age 13 was a bachelor’s degree or higher had a lower DTC incidence (HR=0.75, 95%CI 0.55-1.03) compared to those with high school education or GED or less</w:t>
      </w:r>
      <w:r w:rsidR="00172934">
        <w:rPr>
          <w:rFonts w:asciiTheme="minorHAnsi" w:hAnsiTheme="minorHAnsi" w:cstheme="minorHAnsi"/>
          <w:sz w:val="22"/>
          <w:szCs w:val="22"/>
        </w:rPr>
        <w:t xml:space="preserve"> as the highest household education level</w:t>
      </w:r>
      <w:r w:rsidRPr="008C37FB">
        <w:rPr>
          <w:rFonts w:asciiTheme="minorHAnsi" w:hAnsiTheme="minorHAnsi" w:cstheme="minorHAnsi"/>
          <w:sz w:val="22"/>
          <w:szCs w:val="22"/>
        </w:rPr>
        <w:t xml:space="preserve">. Other </w:t>
      </w:r>
      <w:r w:rsidR="00873A7E">
        <w:rPr>
          <w:rFonts w:asciiTheme="minorHAnsi" w:hAnsiTheme="minorHAnsi" w:cstheme="minorHAnsi"/>
          <w:sz w:val="22"/>
          <w:szCs w:val="22"/>
        </w:rPr>
        <w:t>anthropometric</w:t>
      </w:r>
      <w:r w:rsidRPr="008C37FB">
        <w:rPr>
          <w:rFonts w:asciiTheme="minorHAnsi" w:hAnsiTheme="minorHAnsi" w:cstheme="minorHAnsi"/>
          <w:sz w:val="22"/>
          <w:szCs w:val="22"/>
        </w:rPr>
        <w:t>, reproductive, lifestyle, and socioeconomic factors were not associated with DTC incidence.</w:t>
      </w:r>
    </w:p>
    <w:p w14:paraId="1EFFB7F7" w14:textId="719D03A3" w:rsidR="002910F6" w:rsidRDefault="00873A7E"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Because e</w:t>
      </w:r>
      <w:r w:rsidR="00CB6AB4">
        <w:rPr>
          <w:rFonts w:asciiTheme="minorHAnsi" w:hAnsiTheme="minorHAnsi" w:cstheme="minorHAnsi"/>
          <w:sz w:val="22"/>
          <w:szCs w:val="22"/>
        </w:rPr>
        <w:t xml:space="preserve">arly-life </w:t>
      </w:r>
      <w:r w:rsidR="008A0146">
        <w:rPr>
          <w:rFonts w:asciiTheme="minorHAnsi" w:hAnsiTheme="minorHAnsi" w:cstheme="minorHAnsi"/>
          <w:sz w:val="22"/>
          <w:szCs w:val="22"/>
        </w:rPr>
        <w:t xml:space="preserve">socioeconomic characteristics </w:t>
      </w:r>
      <w:r w:rsidR="00396F19">
        <w:rPr>
          <w:rFonts w:asciiTheme="minorHAnsi" w:hAnsiTheme="minorHAnsi" w:cstheme="minorHAnsi"/>
          <w:sz w:val="22"/>
          <w:szCs w:val="22"/>
        </w:rPr>
        <w:t>may</w:t>
      </w:r>
      <w:r w:rsidR="008A0146">
        <w:rPr>
          <w:rFonts w:asciiTheme="minorHAnsi" w:hAnsiTheme="minorHAnsi" w:cstheme="minorHAnsi"/>
          <w:sz w:val="22"/>
          <w:szCs w:val="22"/>
        </w:rPr>
        <w:t xml:space="preserve"> </w:t>
      </w:r>
      <w:r w:rsidR="008F1341">
        <w:rPr>
          <w:rFonts w:asciiTheme="minorHAnsi" w:hAnsiTheme="minorHAnsi" w:cstheme="minorHAnsi"/>
          <w:sz w:val="22"/>
          <w:szCs w:val="22"/>
        </w:rPr>
        <w:t xml:space="preserve">be </w:t>
      </w:r>
      <w:r w:rsidR="00396F19">
        <w:rPr>
          <w:rFonts w:asciiTheme="minorHAnsi" w:hAnsiTheme="minorHAnsi" w:cstheme="minorHAnsi"/>
          <w:sz w:val="22"/>
          <w:szCs w:val="22"/>
        </w:rPr>
        <w:t>interrelated</w:t>
      </w:r>
      <w:r w:rsidR="008F1341">
        <w:rPr>
          <w:rFonts w:asciiTheme="minorHAnsi" w:hAnsiTheme="minorHAnsi" w:cstheme="minorHAnsi"/>
          <w:sz w:val="22"/>
          <w:szCs w:val="22"/>
        </w:rPr>
        <w:t xml:space="preserve"> and </w:t>
      </w:r>
      <w:r w:rsidR="00396F19">
        <w:rPr>
          <w:rFonts w:asciiTheme="minorHAnsi" w:hAnsiTheme="minorHAnsi" w:cstheme="minorHAnsi"/>
          <w:sz w:val="22"/>
          <w:szCs w:val="22"/>
        </w:rPr>
        <w:t>could</w:t>
      </w:r>
      <w:r w:rsidR="00153D15">
        <w:rPr>
          <w:rFonts w:asciiTheme="minorHAnsi" w:hAnsiTheme="minorHAnsi" w:cstheme="minorHAnsi"/>
          <w:sz w:val="22"/>
          <w:szCs w:val="22"/>
        </w:rPr>
        <w:t xml:space="preserve"> </w:t>
      </w:r>
      <w:r w:rsidR="00CB6AB4">
        <w:rPr>
          <w:rFonts w:asciiTheme="minorHAnsi" w:hAnsiTheme="minorHAnsi" w:cstheme="minorHAnsi"/>
          <w:sz w:val="22"/>
          <w:szCs w:val="22"/>
        </w:rPr>
        <w:t>influence childhood and adolescent</w:t>
      </w:r>
      <w:r w:rsidR="007663E2">
        <w:rPr>
          <w:rFonts w:asciiTheme="minorHAnsi" w:hAnsiTheme="minorHAnsi" w:cstheme="minorHAnsi"/>
          <w:sz w:val="22"/>
          <w:szCs w:val="22"/>
        </w:rPr>
        <w:t xml:space="preserve"> body size</w:t>
      </w:r>
      <w:r w:rsidR="00153D15">
        <w:rPr>
          <w:rFonts w:asciiTheme="minorHAnsi" w:hAnsiTheme="minorHAnsi" w:cstheme="minorHAnsi"/>
          <w:sz w:val="22"/>
          <w:szCs w:val="22"/>
        </w:rPr>
        <w:t>,</w:t>
      </w:r>
      <w:r w:rsidR="00BE6173">
        <w:rPr>
          <w:rFonts w:asciiTheme="minorHAnsi" w:hAnsiTheme="minorHAnsi" w:cstheme="minorHAnsi"/>
          <w:sz w:val="22"/>
          <w:szCs w:val="22"/>
        </w:rPr>
        <w:t xml:space="preserve"> we </w:t>
      </w:r>
      <w:r>
        <w:rPr>
          <w:rFonts w:asciiTheme="minorHAnsi" w:hAnsiTheme="minorHAnsi" w:cstheme="minorHAnsi"/>
          <w:sz w:val="22"/>
          <w:szCs w:val="22"/>
        </w:rPr>
        <w:t>performed</w:t>
      </w:r>
      <w:r w:rsidR="00074A32">
        <w:rPr>
          <w:rFonts w:asciiTheme="minorHAnsi" w:hAnsiTheme="minorHAnsi" w:cstheme="minorHAnsi"/>
          <w:sz w:val="22"/>
          <w:szCs w:val="22"/>
        </w:rPr>
        <w:t xml:space="preserve"> </w:t>
      </w:r>
      <w:r w:rsidR="00E82468">
        <w:rPr>
          <w:rFonts w:asciiTheme="minorHAnsi" w:hAnsiTheme="minorHAnsi" w:cstheme="minorHAnsi"/>
          <w:sz w:val="22"/>
          <w:szCs w:val="22"/>
        </w:rPr>
        <w:t>t</w:t>
      </w:r>
      <w:r>
        <w:rPr>
          <w:rFonts w:asciiTheme="minorHAnsi" w:hAnsiTheme="minorHAnsi" w:cstheme="minorHAnsi"/>
          <w:sz w:val="22"/>
          <w:szCs w:val="22"/>
        </w:rPr>
        <w:t>he following</w:t>
      </w:r>
      <w:r w:rsidR="00E82468">
        <w:rPr>
          <w:rFonts w:asciiTheme="minorHAnsi" w:hAnsiTheme="minorHAnsi" w:cstheme="minorHAnsi"/>
          <w:sz w:val="22"/>
          <w:szCs w:val="22"/>
        </w:rPr>
        <w:t xml:space="preserve"> </w:t>
      </w:r>
      <w:r>
        <w:rPr>
          <w:rFonts w:asciiTheme="minorHAnsi" w:hAnsiTheme="minorHAnsi" w:cstheme="minorHAnsi"/>
          <w:sz w:val="22"/>
          <w:szCs w:val="22"/>
        </w:rPr>
        <w:t>sensitivity analyses</w:t>
      </w:r>
      <w:r w:rsidR="00E82468">
        <w:rPr>
          <w:rFonts w:asciiTheme="minorHAnsi" w:hAnsiTheme="minorHAnsi" w:cstheme="minorHAnsi"/>
          <w:sz w:val="22"/>
          <w:szCs w:val="22"/>
        </w:rPr>
        <w:t xml:space="preserve">: </w:t>
      </w:r>
      <w:r w:rsidR="001A3BE9">
        <w:rPr>
          <w:rFonts w:asciiTheme="minorHAnsi" w:hAnsiTheme="minorHAnsi" w:cstheme="minorHAnsi"/>
          <w:sz w:val="22"/>
          <w:szCs w:val="22"/>
        </w:rPr>
        <w:t xml:space="preserve">(1) </w:t>
      </w:r>
      <w:r>
        <w:rPr>
          <w:rFonts w:asciiTheme="minorHAnsi" w:hAnsiTheme="minorHAnsi" w:cstheme="minorHAnsi"/>
          <w:sz w:val="22"/>
          <w:szCs w:val="22"/>
        </w:rPr>
        <w:t>a model</w:t>
      </w:r>
      <w:r w:rsidR="003C6EC5">
        <w:rPr>
          <w:rFonts w:asciiTheme="minorHAnsi" w:hAnsiTheme="minorHAnsi" w:cstheme="minorHAnsi"/>
          <w:sz w:val="22"/>
          <w:szCs w:val="22"/>
        </w:rPr>
        <w:t xml:space="preserve"> </w:t>
      </w:r>
      <w:r w:rsidR="008A0146">
        <w:rPr>
          <w:rFonts w:asciiTheme="minorHAnsi" w:hAnsiTheme="minorHAnsi" w:cstheme="minorHAnsi"/>
          <w:sz w:val="22"/>
          <w:szCs w:val="22"/>
        </w:rPr>
        <w:t xml:space="preserve">adjusted </w:t>
      </w:r>
      <w:r w:rsidR="00E82468">
        <w:rPr>
          <w:rFonts w:asciiTheme="minorHAnsi" w:hAnsiTheme="minorHAnsi" w:cstheme="minorHAnsi"/>
          <w:sz w:val="22"/>
          <w:szCs w:val="22"/>
        </w:rPr>
        <w:t xml:space="preserve">simultaneously </w:t>
      </w:r>
      <w:r w:rsidR="00CB6AB4">
        <w:rPr>
          <w:rFonts w:asciiTheme="minorHAnsi" w:hAnsiTheme="minorHAnsi" w:cstheme="minorHAnsi"/>
          <w:sz w:val="22"/>
          <w:szCs w:val="22"/>
        </w:rPr>
        <w:t xml:space="preserve">for </w:t>
      </w:r>
      <w:r w:rsidR="00D41308" w:rsidRPr="008C37FB">
        <w:rPr>
          <w:rFonts w:asciiTheme="minorHAnsi" w:hAnsiTheme="minorHAnsi" w:cstheme="minorHAnsi"/>
          <w:sz w:val="22"/>
          <w:szCs w:val="22"/>
        </w:rPr>
        <w:t xml:space="preserve">height </w:t>
      </w:r>
      <w:r w:rsidR="003122EC">
        <w:rPr>
          <w:rFonts w:asciiTheme="minorHAnsi" w:hAnsiTheme="minorHAnsi" w:cstheme="minorHAnsi"/>
          <w:sz w:val="22"/>
          <w:szCs w:val="22"/>
        </w:rPr>
        <w:t xml:space="preserve">relative </w:t>
      </w:r>
      <w:r w:rsidR="00524310">
        <w:rPr>
          <w:rFonts w:asciiTheme="minorHAnsi" w:hAnsiTheme="minorHAnsi" w:cstheme="minorHAnsi"/>
          <w:sz w:val="22"/>
          <w:szCs w:val="22"/>
        </w:rPr>
        <w:t xml:space="preserve">to peers </w:t>
      </w:r>
      <w:r w:rsidR="00D41308" w:rsidRPr="008C37FB">
        <w:rPr>
          <w:rFonts w:asciiTheme="minorHAnsi" w:hAnsiTheme="minorHAnsi" w:cstheme="minorHAnsi"/>
          <w:sz w:val="22"/>
          <w:szCs w:val="22"/>
        </w:rPr>
        <w:t xml:space="preserve">at age 10, weight </w:t>
      </w:r>
      <w:r w:rsidR="003122EC">
        <w:rPr>
          <w:rFonts w:asciiTheme="minorHAnsi" w:hAnsiTheme="minorHAnsi" w:cstheme="minorHAnsi"/>
          <w:sz w:val="22"/>
          <w:szCs w:val="22"/>
        </w:rPr>
        <w:t xml:space="preserve">relative </w:t>
      </w:r>
      <w:r w:rsidR="001B1AB0">
        <w:rPr>
          <w:rFonts w:asciiTheme="minorHAnsi" w:hAnsiTheme="minorHAnsi" w:cstheme="minorHAnsi"/>
          <w:sz w:val="22"/>
          <w:szCs w:val="22"/>
        </w:rPr>
        <w:t>to</w:t>
      </w:r>
      <w:r w:rsidR="00D41308" w:rsidRPr="008C37FB">
        <w:rPr>
          <w:rFonts w:asciiTheme="minorHAnsi" w:hAnsiTheme="minorHAnsi" w:cstheme="minorHAnsi"/>
          <w:sz w:val="22"/>
          <w:szCs w:val="22"/>
        </w:rPr>
        <w:t xml:space="preserve"> peers</w:t>
      </w:r>
      <w:r w:rsidR="001B1AB0">
        <w:rPr>
          <w:rFonts w:asciiTheme="minorHAnsi" w:hAnsiTheme="minorHAnsi" w:cstheme="minorHAnsi"/>
          <w:sz w:val="22"/>
          <w:szCs w:val="22"/>
        </w:rPr>
        <w:t xml:space="preserve"> during teen </w:t>
      </w:r>
      <w:r w:rsidR="001B1AB0" w:rsidRPr="00ED164B">
        <w:rPr>
          <w:rFonts w:asciiTheme="minorHAnsi" w:hAnsiTheme="minorHAnsi" w:cstheme="minorHAnsi"/>
          <w:sz w:val="22"/>
          <w:szCs w:val="22"/>
        </w:rPr>
        <w:t>years</w:t>
      </w:r>
      <w:r w:rsidR="00D41308" w:rsidRPr="00ED164B">
        <w:rPr>
          <w:rFonts w:asciiTheme="minorHAnsi" w:hAnsiTheme="minorHAnsi" w:cstheme="minorHAnsi"/>
          <w:sz w:val="22"/>
          <w:szCs w:val="22"/>
        </w:rPr>
        <w:t xml:space="preserve">, </w:t>
      </w:r>
      <w:r w:rsidR="00A0155E" w:rsidRPr="00E67983">
        <w:rPr>
          <w:rFonts w:asciiTheme="minorHAnsi" w:hAnsiTheme="minorHAnsi" w:cstheme="minorHAnsi"/>
          <w:sz w:val="22"/>
          <w:szCs w:val="22"/>
        </w:rPr>
        <w:t>ever not having enough to eat during childhood</w:t>
      </w:r>
      <w:r w:rsidR="00A0155E" w:rsidRPr="00ED164B">
        <w:rPr>
          <w:rFonts w:asciiTheme="minorHAnsi" w:hAnsiTheme="minorHAnsi" w:cstheme="minorHAnsi"/>
          <w:sz w:val="22"/>
          <w:szCs w:val="22"/>
        </w:rPr>
        <w:t xml:space="preserve">, and </w:t>
      </w:r>
      <w:r w:rsidR="00D41308" w:rsidRPr="00ED164B">
        <w:rPr>
          <w:rFonts w:asciiTheme="minorHAnsi" w:hAnsiTheme="minorHAnsi" w:cstheme="minorHAnsi"/>
          <w:sz w:val="22"/>
          <w:szCs w:val="22"/>
        </w:rPr>
        <w:t>highest household education level at age 13</w:t>
      </w:r>
      <w:r w:rsidR="001A3BE9">
        <w:rPr>
          <w:rFonts w:asciiTheme="minorHAnsi" w:hAnsiTheme="minorHAnsi" w:cstheme="minorHAnsi"/>
          <w:sz w:val="22"/>
          <w:szCs w:val="22"/>
        </w:rPr>
        <w:t>, and (2) a</w:t>
      </w:r>
      <w:r w:rsidR="00CD716B">
        <w:rPr>
          <w:rFonts w:asciiTheme="minorHAnsi" w:hAnsiTheme="minorHAnsi" w:cstheme="minorHAnsi"/>
          <w:sz w:val="22"/>
          <w:szCs w:val="22"/>
        </w:rPr>
        <w:t>nother</w:t>
      </w:r>
      <w:r w:rsidR="001A3BE9">
        <w:rPr>
          <w:rFonts w:asciiTheme="minorHAnsi" w:hAnsiTheme="minorHAnsi" w:cstheme="minorHAnsi"/>
          <w:sz w:val="22"/>
          <w:szCs w:val="22"/>
        </w:rPr>
        <w:t xml:space="preserve"> model adjusted for</w:t>
      </w:r>
      <w:r w:rsidR="00761DF1">
        <w:rPr>
          <w:rFonts w:asciiTheme="minorHAnsi" w:hAnsiTheme="minorHAnsi" w:cstheme="minorHAnsi"/>
          <w:sz w:val="22"/>
          <w:szCs w:val="22"/>
        </w:rPr>
        <w:t xml:space="preserve"> </w:t>
      </w:r>
      <w:r w:rsidR="00761DF1" w:rsidRPr="00ED164B">
        <w:rPr>
          <w:rFonts w:asciiTheme="minorHAnsi" w:hAnsiTheme="minorHAnsi" w:cstheme="minorHAnsi"/>
          <w:sz w:val="22"/>
          <w:szCs w:val="22"/>
        </w:rPr>
        <w:t xml:space="preserve">family income while growing up, household composition at age 13, and </w:t>
      </w:r>
      <w:bookmarkStart w:id="2" w:name="_Hlk177506198"/>
      <w:r w:rsidR="00761DF1" w:rsidRPr="00ED164B">
        <w:rPr>
          <w:rFonts w:asciiTheme="minorHAnsi" w:hAnsiTheme="minorHAnsi" w:cstheme="minorHAnsi"/>
          <w:sz w:val="22"/>
          <w:szCs w:val="22"/>
        </w:rPr>
        <w:t xml:space="preserve">childhood </w:t>
      </w:r>
      <w:r w:rsidR="00F053FE" w:rsidRPr="00F053FE">
        <w:rPr>
          <w:rFonts w:asciiTheme="minorHAnsi" w:hAnsiTheme="minorHAnsi" w:cstheme="minorHAnsi"/>
          <w:sz w:val="22"/>
          <w:szCs w:val="22"/>
        </w:rPr>
        <w:t>urbanicity</w:t>
      </w:r>
      <w:r w:rsidR="00761DF1">
        <w:rPr>
          <w:rFonts w:asciiTheme="minorHAnsi" w:hAnsiTheme="minorHAnsi" w:cstheme="minorHAnsi"/>
          <w:sz w:val="22"/>
          <w:szCs w:val="22"/>
        </w:rPr>
        <w:t xml:space="preserve"> </w:t>
      </w:r>
      <w:bookmarkEnd w:id="2"/>
      <w:r w:rsidR="00761DF1">
        <w:rPr>
          <w:rFonts w:asciiTheme="minorHAnsi" w:hAnsiTheme="minorHAnsi" w:cstheme="minorHAnsi"/>
          <w:sz w:val="22"/>
          <w:szCs w:val="22"/>
        </w:rPr>
        <w:t>in addition to</w:t>
      </w:r>
      <w:r w:rsidR="001A3BE9">
        <w:rPr>
          <w:rFonts w:asciiTheme="minorHAnsi" w:hAnsiTheme="minorHAnsi" w:cstheme="minorHAnsi"/>
          <w:sz w:val="22"/>
          <w:szCs w:val="22"/>
        </w:rPr>
        <w:t xml:space="preserve"> all </w:t>
      </w:r>
      <w:r w:rsidR="00CD716B">
        <w:rPr>
          <w:rFonts w:asciiTheme="minorHAnsi" w:hAnsiTheme="minorHAnsi" w:cstheme="minorHAnsi"/>
          <w:sz w:val="22"/>
          <w:szCs w:val="22"/>
        </w:rPr>
        <w:t>previously mentioned</w:t>
      </w:r>
      <w:r w:rsidR="00761DF1">
        <w:rPr>
          <w:rFonts w:asciiTheme="minorHAnsi" w:hAnsiTheme="minorHAnsi" w:cstheme="minorHAnsi"/>
          <w:sz w:val="22"/>
          <w:szCs w:val="22"/>
        </w:rPr>
        <w:t xml:space="preserve"> variables</w:t>
      </w:r>
      <w:r w:rsidR="00D41308" w:rsidRPr="00ED164B">
        <w:rPr>
          <w:rFonts w:asciiTheme="minorHAnsi" w:hAnsiTheme="minorHAnsi" w:cstheme="minorHAnsi"/>
          <w:sz w:val="22"/>
          <w:szCs w:val="22"/>
        </w:rPr>
        <w:t>.</w:t>
      </w:r>
      <w:r w:rsidR="00CB6AB4">
        <w:rPr>
          <w:rFonts w:asciiTheme="minorHAnsi" w:hAnsiTheme="minorHAnsi" w:cstheme="minorHAnsi"/>
          <w:sz w:val="22"/>
          <w:szCs w:val="22"/>
        </w:rPr>
        <w:t xml:space="preserve"> </w:t>
      </w:r>
      <w:r w:rsidR="00C044AC">
        <w:rPr>
          <w:rFonts w:asciiTheme="minorHAnsi" w:hAnsiTheme="minorHAnsi" w:cstheme="minorHAnsi"/>
          <w:sz w:val="22"/>
          <w:szCs w:val="22"/>
        </w:rPr>
        <w:t>The r</w:t>
      </w:r>
      <w:r w:rsidR="00CB6AB4">
        <w:rPr>
          <w:rFonts w:asciiTheme="minorHAnsi" w:hAnsiTheme="minorHAnsi" w:cstheme="minorHAnsi"/>
          <w:sz w:val="22"/>
          <w:szCs w:val="22"/>
        </w:rPr>
        <w:t>isk estimates remained consistent</w:t>
      </w:r>
      <w:r>
        <w:rPr>
          <w:rFonts w:asciiTheme="minorHAnsi" w:hAnsiTheme="minorHAnsi" w:cstheme="minorHAnsi"/>
          <w:sz w:val="22"/>
          <w:szCs w:val="22"/>
        </w:rPr>
        <w:t xml:space="preserve"> in these mutually adjusted models</w:t>
      </w:r>
      <w:r w:rsidR="003A79DC">
        <w:rPr>
          <w:rFonts w:asciiTheme="minorHAnsi" w:hAnsiTheme="minorHAnsi" w:cstheme="minorHAnsi"/>
          <w:sz w:val="22"/>
          <w:szCs w:val="22"/>
        </w:rPr>
        <w:t>, except for</w:t>
      </w:r>
      <w:r w:rsidR="00D41308" w:rsidRPr="00ED164B">
        <w:rPr>
          <w:rFonts w:asciiTheme="minorHAnsi" w:hAnsiTheme="minorHAnsi" w:cstheme="minorHAnsi"/>
          <w:sz w:val="22"/>
          <w:szCs w:val="22"/>
        </w:rPr>
        <w:t xml:space="preserve"> </w:t>
      </w:r>
      <w:r w:rsidR="003A79DC" w:rsidRPr="00E67983">
        <w:rPr>
          <w:rFonts w:asciiTheme="minorHAnsi" w:hAnsiTheme="minorHAnsi" w:cstheme="minorHAnsi"/>
          <w:sz w:val="22"/>
          <w:szCs w:val="22"/>
        </w:rPr>
        <w:t>a more pronounced association</w:t>
      </w:r>
      <w:r w:rsidR="003A79DC" w:rsidRPr="00ED164B">
        <w:rPr>
          <w:rFonts w:asciiTheme="minorHAnsi" w:hAnsiTheme="minorHAnsi" w:cstheme="minorHAnsi"/>
          <w:sz w:val="22"/>
          <w:szCs w:val="22"/>
        </w:rPr>
        <w:t xml:space="preserve"> for ever not having</w:t>
      </w:r>
      <w:r w:rsidR="003A79DC" w:rsidRPr="008C37FB">
        <w:rPr>
          <w:rFonts w:asciiTheme="minorHAnsi" w:hAnsiTheme="minorHAnsi" w:cstheme="minorHAnsi"/>
          <w:sz w:val="22"/>
          <w:szCs w:val="22"/>
        </w:rPr>
        <w:t xml:space="preserve"> enough to eat during childhood (HR=1.92, 95%CI 1.26-2.90) </w:t>
      </w:r>
      <w:r w:rsidR="00D41308" w:rsidRPr="008C37FB">
        <w:rPr>
          <w:rFonts w:asciiTheme="minorHAnsi" w:hAnsiTheme="minorHAnsi" w:cstheme="minorHAnsi"/>
          <w:sz w:val="22"/>
          <w:szCs w:val="22"/>
        </w:rPr>
        <w:t>(</w:t>
      </w:r>
      <w:r w:rsidR="00D41308" w:rsidRPr="003503C6">
        <w:rPr>
          <w:rFonts w:asciiTheme="minorHAnsi" w:hAnsiTheme="minorHAnsi" w:cstheme="minorHAnsi"/>
          <w:b/>
          <w:bCs/>
          <w:sz w:val="22"/>
          <w:szCs w:val="22"/>
        </w:rPr>
        <w:t>Table 3</w:t>
      </w:r>
      <w:r w:rsidR="00D41308" w:rsidRPr="008C37FB">
        <w:rPr>
          <w:rFonts w:asciiTheme="minorHAnsi" w:hAnsiTheme="minorHAnsi" w:cstheme="minorHAnsi"/>
          <w:sz w:val="22"/>
          <w:szCs w:val="22"/>
        </w:rPr>
        <w:t xml:space="preserve">). </w:t>
      </w:r>
    </w:p>
    <w:p w14:paraId="6DCED648" w14:textId="4C225F2E" w:rsidR="00D41308" w:rsidRPr="008C37FB" w:rsidRDefault="00D72091"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All</w:t>
      </w:r>
      <w:r w:rsidR="00E765C4">
        <w:rPr>
          <w:rFonts w:asciiTheme="minorHAnsi" w:hAnsiTheme="minorHAnsi" w:cstheme="minorHAnsi"/>
          <w:sz w:val="22"/>
          <w:szCs w:val="22"/>
        </w:rPr>
        <w:t xml:space="preserve"> associations </w:t>
      </w:r>
      <w:r w:rsidR="004F6FFF">
        <w:rPr>
          <w:rFonts w:asciiTheme="minorHAnsi" w:hAnsiTheme="minorHAnsi" w:cstheme="minorHAnsi"/>
          <w:sz w:val="22"/>
          <w:szCs w:val="22"/>
        </w:rPr>
        <w:t xml:space="preserve">remained consistent </w:t>
      </w:r>
      <w:r w:rsidR="00172934">
        <w:rPr>
          <w:rFonts w:asciiTheme="minorHAnsi" w:hAnsiTheme="minorHAnsi" w:cstheme="minorHAnsi"/>
          <w:sz w:val="22"/>
          <w:szCs w:val="22"/>
        </w:rPr>
        <w:t xml:space="preserve">across </w:t>
      </w:r>
      <w:r w:rsidR="00172934" w:rsidRPr="008C37FB">
        <w:rPr>
          <w:rFonts w:asciiTheme="minorHAnsi" w:hAnsiTheme="minorHAnsi" w:cstheme="minorHAnsi"/>
          <w:sz w:val="22"/>
          <w:szCs w:val="22"/>
        </w:rPr>
        <w:t xml:space="preserve">baseline socioeconomic status and BMI </w:t>
      </w:r>
      <w:r w:rsidR="00172934">
        <w:rPr>
          <w:rFonts w:asciiTheme="minorHAnsi" w:hAnsiTheme="minorHAnsi" w:cstheme="minorHAnsi"/>
          <w:sz w:val="22"/>
          <w:szCs w:val="22"/>
        </w:rPr>
        <w:t xml:space="preserve">strata </w:t>
      </w:r>
      <w:r w:rsidR="00D41308" w:rsidRPr="008C37FB">
        <w:rPr>
          <w:rFonts w:asciiTheme="minorHAnsi" w:hAnsiTheme="minorHAnsi" w:cstheme="minorHAnsi"/>
          <w:sz w:val="22"/>
          <w:szCs w:val="22"/>
        </w:rPr>
        <w:t xml:space="preserve">(p-interactions&gt;0.05, </w:t>
      </w:r>
      <w:r w:rsidR="00D41308" w:rsidRPr="003503C6">
        <w:rPr>
          <w:rFonts w:asciiTheme="minorHAnsi" w:hAnsiTheme="minorHAnsi" w:cstheme="minorHAnsi"/>
          <w:b/>
          <w:bCs/>
          <w:sz w:val="22"/>
          <w:szCs w:val="22"/>
        </w:rPr>
        <w:t>Supplementary Figure 1</w:t>
      </w:r>
      <w:r w:rsidR="00D41308" w:rsidRPr="008C37FB">
        <w:rPr>
          <w:rFonts w:asciiTheme="minorHAnsi" w:hAnsiTheme="minorHAnsi" w:cstheme="minorHAnsi"/>
          <w:sz w:val="22"/>
          <w:szCs w:val="22"/>
        </w:rPr>
        <w:t>)</w:t>
      </w:r>
      <w:r>
        <w:rPr>
          <w:rFonts w:asciiTheme="minorHAnsi" w:hAnsiTheme="minorHAnsi" w:cstheme="minorHAnsi"/>
          <w:sz w:val="22"/>
          <w:szCs w:val="22"/>
        </w:rPr>
        <w:t>, except t</w:t>
      </w:r>
      <w:r w:rsidRPr="008C37FB">
        <w:rPr>
          <w:rFonts w:asciiTheme="minorHAnsi" w:hAnsiTheme="minorHAnsi" w:cstheme="minorHAnsi"/>
          <w:sz w:val="22"/>
          <w:szCs w:val="22"/>
        </w:rPr>
        <w:t>he association for</w:t>
      </w:r>
      <w:r>
        <w:rPr>
          <w:rFonts w:asciiTheme="minorHAnsi" w:hAnsiTheme="minorHAnsi" w:cstheme="minorHAnsi"/>
          <w:sz w:val="22"/>
          <w:szCs w:val="22"/>
        </w:rPr>
        <w:t xml:space="preserve"> </w:t>
      </w:r>
      <w:r w:rsidRPr="008C37FB">
        <w:rPr>
          <w:rFonts w:asciiTheme="minorHAnsi" w:hAnsiTheme="minorHAnsi" w:cstheme="minorHAnsi"/>
          <w:sz w:val="22"/>
          <w:szCs w:val="22"/>
        </w:rPr>
        <w:t xml:space="preserve">weight </w:t>
      </w:r>
      <w:r w:rsidR="000646F9">
        <w:rPr>
          <w:rFonts w:asciiTheme="minorHAnsi" w:hAnsiTheme="minorHAnsi" w:cstheme="minorHAnsi"/>
          <w:sz w:val="22"/>
          <w:szCs w:val="22"/>
        </w:rPr>
        <w:t xml:space="preserve">relative </w:t>
      </w:r>
      <w:r>
        <w:rPr>
          <w:rFonts w:asciiTheme="minorHAnsi" w:hAnsiTheme="minorHAnsi" w:cstheme="minorHAnsi"/>
          <w:sz w:val="22"/>
          <w:szCs w:val="22"/>
        </w:rPr>
        <w:t xml:space="preserve">to peers </w:t>
      </w:r>
      <w:r w:rsidRPr="008C37FB">
        <w:rPr>
          <w:rFonts w:asciiTheme="minorHAnsi" w:hAnsiTheme="minorHAnsi" w:cstheme="minorHAnsi"/>
          <w:sz w:val="22"/>
          <w:szCs w:val="22"/>
        </w:rPr>
        <w:t xml:space="preserve">during </w:t>
      </w:r>
      <w:r>
        <w:rPr>
          <w:rFonts w:asciiTheme="minorHAnsi" w:hAnsiTheme="minorHAnsi" w:cstheme="minorHAnsi"/>
          <w:sz w:val="22"/>
          <w:szCs w:val="22"/>
        </w:rPr>
        <w:t xml:space="preserve">teen years </w:t>
      </w:r>
      <w:r w:rsidR="00CE59C6">
        <w:rPr>
          <w:rFonts w:asciiTheme="minorHAnsi" w:hAnsiTheme="minorHAnsi" w:cstheme="minorHAnsi"/>
          <w:sz w:val="22"/>
          <w:szCs w:val="22"/>
        </w:rPr>
        <w:t>which</w:t>
      </w:r>
      <w:r>
        <w:rPr>
          <w:rFonts w:asciiTheme="minorHAnsi" w:hAnsiTheme="minorHAnsi" w:cstheme="minorHAnsi"/>
          <w:sz w:val="22"/>
          <w:szCs w:val="22"/>
        </w:rPr>
        <w:t xml:space="preserve"> </w:t>
      </w:r>
      <w:r w:rsidRPr="008C37FB">
        <w:rPr>
          <w:rFonts w:asciiTheme="minorHAnsi" w:hAnsiTheme="minorHAnsi" w:cstheme="minorHAnsi"/>
          <w:sz w:val="22"/>
          <w:szCs w:val="22"/>
        </w:rPr>
        <w:t>varied according to baseline BMI (p-interaction=0.0</w:t>
      </w:r>
      <w:r>
        <w:rPr>
          <w:rFonts w:asciiTheme="minorHAnsi" w:hAnsiTheme="minorHAnsi" w:cstheme="minorHAnsi"/>
          <w:sz w:val="22"/>
          <w:szCs w:val="22"/>
        </w:rPr>
        <w:t>3</w:t>
      </w:r>
      <w:r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r w:rsidR="006955FA">
        <w:rPr>
          <w:rFonts w:asciiTheme="minorHAnsi" w:hAnsiTheme="minorHAnsi" w:cstheme="minorHAnsi"/>
          <w:sz w:val="22"/>
          <w:szCs w:val="22"/>
        </w:rPr>
        <w:t xml:space="preserve"> </w:t>
      </w:r>
      <w:r w:rsidR="00873A7E">
        <w:rPr>
          <w:rFonts w:asciiTheme="minorHAnsi" w:hAnsiTheme="minorHAnsi" w:cstheme="minorHAnsi"/>
          <w:sz w:val="22"/>
          <w:szCs w:val="22"/>
        </w:rPr>
        <w:t xml:space="preserve">Positive associations for weight relative to </w:t>
      </w:r>
      <w:r w:rsidR="00D01DE8">
        <w:rPr>
          <w:rFonts w:asciiTheme="minorHAnsi" w:hAnsiTheme="minorHAnsi" w:cstheme="minorHAnsi"/>
          <w:sz w:val="22"/>
          <w:szCs w:val="22"/>
        </w:rPr>
        <w:t>peers during teen years were more pronounced in women with a baseline BMI under 25</w:t>
      </w:r>
      <w:r w:rsidR="00D01DE8" w:rsidRPr="00804A02">
        <w:rPr>
          <w:rFonts w:asciiTheme="minorHAnsi" w:hAnsiTheme="minorHAnsi" w:cstheme="minorHAnsi"/>
          <w:sz w:val="22"/>
          <w:szCs w:val="22"/>
        </w:rPr>
        <w:t>.</w:t>
      </w:r>
      <w:r w:rsidR="00D01DE8">
        <w:rPr>
          <w:rFonts w:asciiTheme="minorHAnsi" w:hAnsiTheme="minorHAnsi" w:cstheme="minorHAnsi"/>
          <w:sz w:val="22"/>
          <w:szCs w:val="22"/>
        </w:rPr>
        <w:t xml:space="preserve"> </w:t>
      </w:r>
    </w:p>
    <w:p w14:paraId="32FF6DFC" w14:textId="5E37C32F" w:rsidR="00D41308" w:rsidRDefault="00873A7E" w:rsidP="008C37FB">
      <w:pPr>
        <w:pStyle w:val="NormalWeb"/>
        <w:spacing w:line="360" w:lineRule="auto"/>
        <w:rPr>
          <w:rFonts w:asciiTheme="minorHAnsi" w:hAnsiTheme="minorHAnsi" w:cstheme="minorHAnsi"/>
          <w:sz w:val="22"/>
          <w:szCs w:val="22"/>
        </w:rPr>
      </w:pPr>
      <w:bookmarkStart w:id="3" w:name="_Hlk174526354"/>
      <w:r>
        <w:rPr>
          <w:rFonts w:asciiTheme="minorHAnsi" w:hAnsiTheme="minorHAnsi" w:cstheme="minorHAnsi"/>
          <w:sz w:val="22"/>
          <w:szCs w:val="22"/>
        </w:rPr>
        <w:t>We</w:t>
      </w:r>
      <w:r w:rsidR="001A03C3">
        <w:rPr>
          <w:rFonts w:asciiTheme="minorHAnsi" w:hAnsiTheme="minorHAnsi" w:cstheme="minorHAnsi"/>
          <w:sz w:val="22"/>
          <w:szCs w:val="22"/>
        </w:rPr>
        <w:t xml:space="preserve"> further examined the joint association between </w:t>
      </w:r>
      <w:r w:rsidR="00D41308" w:rsidRPr="008C37FB">
        <w:rPr>
          <w:rFonts w:asciiTheme="minorHAnsi" w:hAnsiTheme="minorHAnsi" w:cstheme="minorHAnsi"/>
          <w:sz w:val="22"/>
          <w:szCs w:val="22"/>
        </w:rPr>
        <w:t>weight</w:t>
      </w:r>
      <w:r w:rsidR="009D2020">
        <w:rPr>
          <w:rFonts w:asciiTheme="minorHAnsi" w:hAnsiTheme="minorHAnsi" w:cstheme="minorHAnsi"/>
          <w:sz w:val="22"/>
          <w:szCs w:val="22"/>
        </w:rPr>
        <w:t xml:space="preserve"> </w:t>
      </w:r>
      <w:r w:rsidR="003122EC">
        <w:rPr>
          <w:rFonts w:asciiTheme="minorHAnsi" w:hAnsiTheme="minorHAnsi" w:cstheme="minorHAnsi"/>
          <w:sz w:val="22"/>
          <w:szCs w:val="22"/>
        </w:rPr>
        <w:t xml:space="preserve">relative </w:t>
      </w:r>
      <w:r w:rsidR="009D2020">
        <w:rPr>
          <w:rFonts w:asciiTheme="minorHAnsi" w:hAnsiTheme="minorHAnsi" w:cstheme="minorHAnsi"/>
          <w:sz w:val="22"/>
          <w:szCs w:val="22"/>
        </w:rPr>
        <w:t>to peers during teen years</w:t>
      </w:r>
      <w:r w:rsidR="00D41308" w:rsidRPr="008C37FB">
        <w:rPr>
          <w:rFonts w:asciiTheme="minorHAnsi" w:hAnsiTheme="minorHAnsi" w:cstheme="minorHAnsi"/>
          <w:sz w:val="22"/>
          <w:szCs w:val="22"/>
        </w:rPr>
        <w:t xml:space="preserve"> and baseline BMI </w:t>
      </w:r>
      <w:r w:rsidR="001A03C3">
        <w:rPr>
          <w:rFonts w:asciiTheme="minorHAnsi" w:hAnsiTheme="minorHAnsi" w:cstheme="minorHAnsi"/>
          <w:sz w:val="22"/>
          <w:szCs w:val="22"/>
        </w:rPr>
        <w:t>on</w:t>
      </w:r>
      <w:r w:rsidR="00D41308" w:rsidRPr="008C37FB">
        <w:rPr>
          <w:rFonts w:asciiTheme="minorHAnsi" w:hAnsiTheme="minorHAnsi" w:cstheme="minorHAnsi"/>
          <w:sz w:val="22"/>
          <w:szCs w:val="22"/>
        </w:rPr>
        <w:t xml:space="preserve"> DTC incidence (</w:t>
      </w:r>
      <w:r w:rsidR="00D41308" w:rsidRPr="003503C6">
        <w:rPr>
          <w:rFonts w:asciiTheme="minorHAnsi" w:hAnsiTheme="minorHAnsi" w:cstheme="minorHAnsi"/>
          <w:b/>
          <w:bCs/>
          <w:sz w:val="22"/>
          <w:szCs w:val="22"/>
        </w:rPr>
        <w:t xml:space="preserve">Figure </w:t>
      </w:r>
      <w:r w:rsidR="00DA0F01">
        <w:rPr>
          <w:rFonts w:asciiTheme="minorHAnsi" w:hAnsiTheme="minorHAnsi" w:cstheme="minorHAnsi"/>
          <w:b/>
          <w:bCs/>
          <w:sz w:val="22"/>
          <w:szCs w:val="22"/>
        </w:rPr>
        <w:t>1</w:t>
      </w:r>
      <w:r w:rsidR="00D41308" w:rsidRPr="003503C6">
        <w:rPr>
          <w:rFonts w:asciiTheme="minorHAnsi" w:hAnsiTheme="minorHAnsi" w:cstheme="minorHAnsi"/>
          <w:b/>
          <w:bCs/>
          <w:sz w:val="22"/>
          <w:szCs w:val="22"/>
        </w:rPr>
        <w:t>, Supplementary table 1</w:t>
      </w:r>
      <w:r w:rsidR="00D41308" w:rsidRPr="008C37FB">
        <w:rPr>
          <w:rFonts w:asciiTheme="minorHAnsi" w:hAnsiTheme="minorHAnsi" w:cstheme="minorHAnsi"/>
          <w:sz w:val="22"/>
          <w:szCs w:val="22"/>
        </w:rPr>
        <w:t xml:space="preserve">). The reference group was </w:t>
      </w:r>
      <w:r w:rsidR="00D41308" w:rsidRPr="008C37FB">
        <w:rPr>
          <w:rFonts w:asciiTheme="minorHAnsi" w:hAnsiTheme="minorHAnsi" w:cstheme="minorHAnsi"/>
          <w:sz w:val="22"/>
          <w:szCs w:val="22"/>
        </w:rPr>
        <w:lastRenderedPageBreak/>
        <w:t xml:space="preserve">women with a baseline BMI under 25 who reported having same </w:t>
      </w:r>
      <w:r w:rsidR="001A03C3">
        <w:rPr>
          <w:rFonts w:asciiTheme="minorHAnsi" w:hAnsiTheme="minorHAnsi" w:cstheme="minorHAnsi"/>
          <w:sz w:val="22"/>
          <w:szCs w:val="22"/>
        </w:rPr>
        <w:t xml:space="preserve">teenage </w:t>
      </w:r>
      <w:r w:rsidR="00D41308" w:rsidRPr="008C37FB">
        <w:rPr>
          <w:rFonts w:asciiTheme="minorHAnsi" w:hAnsiTheme="minorHAnsi" w:cstheme="minorHAnsi"/>
          <w:sz w:val="22"/>
          <w:szCs w:val="22"/>
        </w:rPr>
        <w:t>weight as peers. Among women with a baseline BMI under 25, being</w:t>
      </w:r>
      <w:r w:rsidR="000C212A">
        <w:rPr>
          <w:rFonts w:asciiTheme="minorHAnsi" w:hAnsiTheme="minorHAnsi" w:cstheme="minorHAnsi"/>
          <w:sz w:val="22"/>
          <w:szCs w:val="22"/>
        </w:rPr>
        <w:t xml:space="preserve"> either</w:t>
      </w:r>
      <w:r w:rsidR="00D41308" w:rsidRPr="008C37FB">
        <w:rPr>
          <w:rFonts w:asciiTheme="minorHAnsi" w:hAnsiTheme="minorHAnsi" w:cstheme="minorHAnsi"/>
          <w:sz w:val="22"/>
          <w:szCs w:val="22"/>
        </w:rPr>
        <w:t xml:space="preserve"> lighter (HR=2.</w:t>
      </w:r>
      <w:r w:rsidR="00271A0E" w:rsidRPr="008C37FB">
        <w:rPr>
          <w:rFonts w:asciiTheme="minorHAnsi" w:hAnsiTheme="minorHAnsi" w:cstheme="minorHAnsi"/>
          <w:sz w:val="22"/>
          <w:szCs w:val="22"/>
        </w:rPr>
        <w:t>70</w:t>
      </w:r>
      <w:r w:rsidR="00D41308" w:rsidRPr="008C37FB">
        <w:rPr>
          <w:rFonts w:asciiTheme="minorHAnsi" w:hAnsiTheme="minorHAnsi" w:cstheme="minorHAnsi"/>
          <w:sz w:val="22"/>
          <w:szCs w:val="22"/>
        </w:rPr>
        <w:t>, 95%CI 1.</w:t>
      </w:r>
      <w:r w:rsidR="00271A0E" w:rsidRPr="008C37FB">
        <w:rPr>
          <w:rFonts w:asciiTheme="minorHAnsi" w:hAnsiTheme="minorHAnsi" w:cstheme="minorHAnsi"/>
          <w:sz w:val="22"/>
          <w:szCs w:val="22"/>
        </w:rPr>
        <w:t>61</w:t>
      </w:r>
      <w:r w:rsidR="00D41308" w:rsidRPr="008C37FB">
        <w:rPr>
          <w:rFonts w:asciiTheme="minorHAnsi" w:hAnsiTheme="minorHAnsi" w:cstheme="minorHAnsi"/>
          <w:sz w:val="22"/>
          <w:szCs w:val="22"/>
        </w:rPr>
        <w:t>-4.</w:t>
      </w:r>
      <w:r w:rsidR="00271A0E" w:rsidRPr="008C37FB">
        <w:rPr>
          <w:rFonts w:asciiTheme="minorHAnsi" w:hAnsiTheme="minorHAnsi" w:cstheme="minorHAnsi"/>
          <w:sz w:val="22"/>
          <w:szCs w:val="22"/>
        </w:rPr>
        <w:t>50</w:t>
      </w:r>
      <w:r w:rsidR="00D41308" w:rsidRPr="008C37FB">
        <w:rPr>
          <w:rFonts w:asciiTheme="minorHAnsi" w:hAnsiTheme="minorHAnsi" w:cstheme="minorHAnsi"/>
          <w:sz w:val="22"/>
          <w:szCs w:val="22"/>
        </w:rPr>
        <w:t>) or heavier (HR=2.3</w:t>
      </w:r>
      <w:r w:rsidR="00271A0E" w:rsidRPr="008C37FB">
        <w:rPr>
          <w:rFonts w:asciiTheme="minorHAnsi" w:hAnsiTheme="minorHAnsi" w:cstheme="minorHAnsi"/>
          <w:sz w:val="22"/>
          <w:szCs w:val="22"/>
        </w:rPr>
        <w:t>4</w:t>
      </w:r>
      <w:r w:rsidR="00D41308" w:rsidRPr="008C37FB">
        <w:rPr>
          <w:rFonts w:asciiTheme="minorHAnsi" w:hAnsiTheme="minorHAnsi" w:cstheme="minorHAnsi"/>
          <w:sz w:val="22"/>
          <w:szCs w:val="22"/>
        </w:rPr>
        <w:t>, 95%CI 1.0</w:t>
      </w:r>
      <w:r w:rsidR="00271A0E" w:rsidRPr="008C37FB">
        <w:rPr>
          <w:rFonts w:asciiTheme="minorHAnsi" w:hAnsiTheme="minorHAnsi" w:cstheme="minorHAnsi"/>
          <w:sz w:val="22"/>
          <w:szCs w:val="22"/>
        </w:rPr>
        <w:t>6</w:t>
      </w:r>
      <w:r w:rsidR="00D41308" w:rsidRPr="008C37FB">
        <w:rPr>
          <w:rFonts w:asciiTheme="minorHAnsi" w:hAnsiTheme="minorHAnsi" w:cstheme="minorHAnsi"/>
          <w:sz w:val="22"/>
          <w:szCs w:val="22"/>
        </w:rPr>
        <w:t>-5.</w:t>
      </w:r>
      <w:r w:rsidR="00271A0E" w:rsidRPr="008C37FB">
        <w:rPr>
          <w:rFonts w:asciiTheme="minorHAnsi" w:hAnsiTheme="minorHAnsi" w:cstheme="minorHAnsi"/>
          <w:sz w:val="22"/>
          <w:szCs w:val="22"/>
        </w:rPr>
        <w:t>13</w:t>
      </w:r>
      <w:r w:rsidR="00D41308" w:rsidRPr="008C37FB">
        <w:rPr>
          <w:rFonts w:asciiTheme="minorHAnsi" w:hAnsiTheme="minorHAnsi" w:cstheme="minorHAnsi"/>
          <w:sz w:val="22"/>
          <w:szCs w:val="22"/>
        </w:rPr>
        <w:t xml:space="preserve">) </w:t>
      </w:r>
      <w:r>
        <w:rPr>
          <w:rFonts w:asciiTheme="minorHAnsi" w:hAnsiTheme="minorHAnsi" w:cstheme="minorHAnsi"/>
          <w:sz w:val="22"/>
          <w:szCs w:val="22"/>
        </w:rPr>
        <w:t>than</w:t>
      </w:r>
      <w:r w:rsidR="00086B4B">
        <w:rPr>
          <w:rFonts w:asciiTheme="minorHAnsi" w:hAnsiTheme="minorHAnsi" w:cstheme="minorHAnsi"/>
          <w:sz w:val="22"/>
          <w:szCs w:val="22"/>
        </w:rPr>
        <w:t xml:space="preserve"> peers during </w:t>
      </w:r>
      <w:r w:rsidR="001A03C3">
        <w:rPr>
          <w:rFonts w:asciiTheme="minorHAnsi" w:hAnsiTheme="minorHAnsi" w:cstheme="minorHAnsi"/>
          <w:sz w:val="22"/>
          <w:szCs w:val="22"/>
        </w:rPr>
        <w:t xml:space="preserve">teen years </w:t>
      </w:r>
      <w:r w:rsidR="00D41308" w:rsidRPr="008C37FB">
        <w:rPr>
          <w:rFonts w:asciiTheme="minorHAnsi" w:hAnsiTheme="minorHAnsi" w:cstheme="minorHAnsi"/>
          <w:sz w:val="22"/>
          <w:szCs w:val="22"/>
        </w:rPr>
        <w:t>were associated with higher DTC incidence</w:t>
      </w:r>
      <w:r>
        <w:rPr>
          <w:rFonts w:asciiTheme="minorHAnsi" w:hAnsiTheme="minorHAnsi" w:cstheme="minorHAnsi"/>
          <w:sz w:val="22"/>
          <w:szCs w:val="22"/>
        </w:rPr>
        <w:t>. A combination of being the</w:t>
      </w:r>
      <w:r w:rsidR="00DD4417">
        <w:rPr>
          <w:rFonts w:asciiTheme="minorHAnsi" w:hAnsiTheme="minorHAnsi" w:cstheme="minorHAnsi"/>
          <w:sz w:val="22"/>
          <w:szCs w:val="22"/>
        </w:rPr>
        <w:t xml:space="preserve"> same </w:t>
      </w:r>
      <w:r w:rsidR="000C212A">
        <w:rPr>
          <w:rFonts w:asciiTheme="minorHAnsi" w:hAnsiTheme="minorHAnsi" w:cstheme="minorHAnsi"/>
          <w:sz w:val="22"/>
          <w:szCs w:val="22"/>
        </w:rPr>
        <w:t xml:space="preserve">weight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3.00</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75</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5.12</w:t>
      </w:r>
      <w:r w:rsidR="000D3BC1" w:rsidRPr="008C37FB">
        <w:rPr>
          <w:rFonts w:asciiTheme="minorHAnsi" w:hAnsiTheme="minorHAnsi" w:cstheme="minorHAnsi"/>
          <w:sz w:val="22"/>
          <w:szCs w:val="22"/>
        </w:rPr>
        <w:t xml:space="preserve">) </w:t>
      </w:r>
      <w:r w:rsidR="00DD4417">
        <w:rPr>
          <w:rFonts w:asciiTheme="minorHAnsi" w:hAnsiTheme="minorHAnsi" w:cstheme="minorHAnsi"/>
          <w:sz w:val="22"/>
          <w:szCs w:val="22"/>
        </w:rPr>
        <w:t xml:space="preserve">or heavier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3.13</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79</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5.48</w:t>
      </w:r>
      <w:r w:rsidR="000D3BC1" w:rsidRPr="008C37FB">
        <w:rPr>
          <w:rFonts w:asciiTheme="minorHAnsi" w:hAnsiTheme="minorHAnsi" w:cstheme="minorHAnsi"/>
          <w:sz w:val="22"/>
          <w:szCs w:val="22"/>
        </w:rPr>
        <w:t>)</w:t>
      </w:r>
      <w:r>
        <w:rPr>
          <w:rFonts w:asciiTheme="minorHAnsi" w:hAnsiTheme="minorHAnsi" w:cstheme="minorHAnsi"/>
          <w:sz w:val="22"/>
          <w:szCs w:val="22"/>
        </w:rPr>
        <w:t xml:space="preserve"> than peers and a baseline BMI of 30 or more was associated with higher DTC incidence compared to the reference group.</w:t>
      </w:r>
      <w:r w:rsidR="00DD4417">
        <w:rPr>
          <w:rFonts w:asciiTheme="minorHAnsi" w:hAnsiTheme="minorHAnsi" w:cstheme="minorHAnsi"/>
          <w:sz w:val="22"/>
          <w:szCs w:val="22"/>
        </w:rPr>
        <w:t xml:space="preserve"> </w:t>
      </w:r>
      <w:r>
        <w:rPr>
          <w:rFonts w:asciiTheme="minorHAnsi" w:hAnsiTheme="minorHAnsi" w:cstheme="minorHAnsi"/>
          <w:sz w:val="22"/>
          <w:szCs w:val="22"/>
        </w:rPr>
        <w:t xml:space="preserve">Repeating </w:t>
      </w:r>
      <w:r w:rsidR="005774B8" w:rsidRPr="005774B8">
        <w:rPr>
          <w:rFonts w:asciiTheme="minorHAnsi" w:hAnsiTheme="minorHAnsi" w:cstheme="minorHAnsi"/>
          <w:sz w:val="22"/>
          <w:szCs w:val="22"/>
        </w:rPr>
        <w:t xml:space="preserve">these analyses with </w:t>
      </w:r>
      <w:r w:rsidR="00225A89">
        <w:rPr>
          <w:rFonts w:asciiTheme="minorHAnsi" w:hAnsiTheme="minorHAnsi" w:cstheme="minorHAnsi"/>
          <w:sz w:val="22"/>
          <w:szCs w:val="22"/>
        </w:rPr>
        <w:t xml:space="preserve">relative </w:t>
      </w:r>
      <w:r w:rsidR="005774B8" w:rsidRPr="005774B8">
        <w:rPr>
          <w:rFonts w:asciiTheme="minorHAnsi" w:hAnsiTheme="minorHAnsi" w:cstheme="minorHAnsi"/>
          <w:sz w:val="22"/>
          <w:szCs w:val="22"/>
        </w:rPr>
        <w:t xml:space="preserve">weight at age 10 instead of </w:t>
      </w:r>
      <w:r w:rsidR="001B2578">
        <w:rPr>
          <w:rFonts w:asciiTheme="minorHAnsi" w:hAnsiTheme="minorHAnsi" w:cstheme="minorHAnsi"/>
          <w:sz w:val="22"/>
          <w:szCs w:val="22"/>
        </w:rPr>
        <w:t>teen years</w:t>
      </w:r>
      <w:r w:rsidR="001B2578" w:rsidRPr="005774B8">
        <w:rPr>
          <w:rFonts w:asciiTheme="minorHAnsi" w:hAnsiTheme="minorHAnsi" w:cstheme="minorHAnsi"/>
          <w:sz w:val="22"/>
          <w:szCs w:val="22"/>
        </w:rPr>
        <w:t xml:space="preserve"> </w:t>
      </w:r>
      <w:r w:rsidR="00A25688">
        <w:rPr>
          <w:rFonts w:asciiTheme="minorHAnsi" w:hAnsiTheme="minorHAnsi" w:cstheme="minorHAnsi"/>
          <w:sz w:val="22"/>
          <w:szCs w:val="22"/>
        </w:rPr>
        <w:t>yielded</w:t>
      </w:r>
      <w:r w:rsidR="005774B8" w:rsidRPr="005774B8">
        <w:rPr>
          <w:rFonts w:asciiTheme="minorHAnsi" w:hAnsiTheme="minorHAnsi" w:cstheme="minorHAnsi"/>
          <w:sz w:val="22"/>
          <w:szCs w:val="22"/>
        </w:rPr>
        <w:t xml:space="preserve"> similar results </w:t>
      </w:r>
      <w:r w:rsidR="00271A0E" w:rsidRPr="008C37FB">
        <w:rPr>
          <w:rFonts w:asciiTheme="minorHAnsi" w:hAnsiTheme="minorHAnsi" w:cstheme="minorHAnsi"/>
          <w:sz w:val="22"/>
          <w:szCs w:val="22"/>
        </w:rPr>
        <w:t>(</w:t>
      </w:r>
      <w:r w:rsidR="00271A0E" w:rsidRPr="003503C6">
        <w:rPr>
          <w:rFonts w:asciiTheme="minorHAnsi" w:hAnsiTheme="minorHAnsi" w:cstheme="minorHAnsi"/>
          <w:b/>
          <w:bCs/>
          <w:sz w:val="22"/>
          <w:szCs w:val="22"/>
        </w:rPr>
        <w:t>Supplementary table 2</w:t>
      </w:r>
      <w:r w:rsidR="00271A0E"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p>
    <w:bookmarkEnd w:id="3"/>
    <w:p w14:paraId="23C941A9" w14:textId="43F418A6" w:rsidR="00BA1FA1" w:rsidRDefault="00D41308" w:rsidP="00F21F4A">
      <w:pPr>
        <w:pStyle w:val="NormalWeb"/>
        <w:spacing w:line="360" w:lineRule="auto"/>
        <w:rPr>
          <w:rFonts w:cstheme="minorHAnsi"/>
        </w:rPr>
      </w:pPr>
      <w:r w:rsidRPr="008C37FB">
        <w:rPr>
          <w:rFonts w:asciiTheme="minorHAnsi" w:hAnsiTheme="minorHAnsi" w:cstheme="minorHAnsi"/>
          <w:sz w:val="22"/>
          <w:szCs w:val="22"/>
        </w:rPr>
        <w:t xml:space="preserve">The E-values for the associations between </w:t>
      </w:r>
      <w:r w:rsidR="00A25688">
        <w:rPr>
          <w:rFonts w:asciiTheme="minorHAnsi" w:hAnsiTheme="minorHAnsi" w:cstheme="minorHAnsi"/>
          <w:sz w:val="22"/>
          <w:szCs w:val="22"/>
        </w:rPr>
        <w:t>DTC</w:t>
      </w:r>
      <w:r w:rsidRPr="008C37FB">
        <w:rPr>
          <w:rFonts w:asciiTheme="minorHAnsi" w:hAnsiTheme="minorHAnsi" w:cstheme="minorHAnsi"/>
          <w:sz w:val="22"/>
          <w:szCs w:val="22"/>
        </w:rPr>
        <w:t xml:space="preserve"> incidence and being taller than peers at age 10, ever not having enough to eat during childhood, and having a </w:t>
      </w:r>
      <w:r w:rsidR="00271A0E" w:rsidRPr="008C37FB">
        <w:rPr>
          <w:rFonts w:asciiTheme="minorHAnsi" w:hAnsiTheme="minorHAnsi" w:cstheme="minorHAnsi"/>
          <w:sz w:val="22"/>
          <w:szCs w:val="22"/>
        </w:rPr>
        <w:t>b</w:t>
      </w:r>
      <w:r w:rsidRPr="008C37FB">
        <w:rPr>
          <w:rFonts w:asciiTheme="minorHAnsi" w:hAnsiTheme="minorHAnsi" w:cstheme="minorHAnsi"/>
          <w:sz w:val="22"/>
          <w:szCs w:val="22"/>
        </w:rPr>
        <w:t>achelor’s degree or higher as the highest household education level at age 13 were 2.18, 2.7</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 xml:space="preserve">, and </w:t>
      </w:r>
      <w:r w:rsidR="00271A0E" w:rsidRPr="008C37FB">
        <w:rPr>
          <w:rFonts w:asciiTheme="minorHAnsi" w:hAnsiTheme="minorHAnsi" w:cstheme="minorHAnsi"/>
          <w:sz w:val="22"/>
          <w:szCs w:val="22"/>
        </w:rPr>
        <w:t>1.99</w:t>
      </w:r>
      <w:r w:rsidRPr="008C37FB">
        <w:rPr>
          <w:rFonts w:asciiTheme="minorHAnsi" w:hAnsiTheme="minorHAnsi" w:cstheme="minorHAnsi"/>
          <w:sz w:val="22"/>
          <w:szCs w:val="22"/>
        </w:rPr>
        <w:t>, respectively</w:t>
      </w:r>
      <w:r w:rsidR="00166DA0">
        <w:rPr>
          <w:rFonts w:asciiTheme="minorHAnsi" w:hAnsiTheme="minorHAnsi" w:cstheme="minorHAnsi"/>
          <w:sz w:val="22"/>
          <w:szCs w:val="22"/>
        </w:rPr>
        <w:t xml:space="preserve">, </w:t>
      </w:r>
      <w:r w:rsidR="00166DA0" w:rsidRPr="008C37FB">
        <w:rPr>
          <w:rFonts w:asciiTheme="minorHAnsi" w:hAnsiTheme="minorHAnsi" w:cstheme="minorHAnsi"/>
          <w:sz w:val="22"/>
          <w:szCs w:val="22"/>
        </w:rPr>
        <w:t>indicat</w:t>
      </w:r>
      <w:r w:rsidR="00166DA0">
        <w:rPr>
          <w:rFonts w:asciiTheme="minorHAnsi" w:hAnsiTheme="minorHAnsi" w:cstheme="minorHAnsi"/>
          <w:sz w:val="22"/>
          <w:szCs w:val="22"/>
        </w:rPr>
        <w:t>ing</w:t>
      </w:r>
      <w:r w:rsidR="00166DA0" w:rsidRPr="008C37FB">
        <w:rPr>
          <w:rFonts w:asciiTheme="minorHAnsi" w:hAnsiTheme="minorHAnsi" w:cstheme="minorHAnsi"/>
          <w:sz w:val="22"/>
          <w:szCs w:val="22"/>
        </w:rPr>
        <w:t xml:space="preserve"> that</w:t>
      </w:r>
      <w:r w:rsidR="00166DA0" w:rsidRPr="00BA63B7">
        <w:rPr>
          <w:rFonts w:asciiTheme="minorHAnsi" w:hAnsiTheme="minorHAnsi" w:cstheme="minorHAnsi"/>
          <w:sz w:val="22"/>
          <w:szCs w:val="22"/>
        </w:rPr>
        <w:t xml:space="preserve"> </w:t>
      </w:r>
      <w:r w:rsidR="00166DA0" w:rsidRPr="008C37FB">
        <w:rPr>
          <w:rFonts w:asciiTheme="minorHAnsi" w:hAnsiTheme="minorHAnsi" w:cstheme="minorHAnsi"/>
          <w:sz w:val="22"/>
          <w:szCs w:val="22"/>
        </w:rPr>
        <w:t>a</w:t>
      </w:r>
      <w:r w:rsidR="00166DA0">
        <w:rPr>
          <w:rFonts w:asciiTheme="minorHAnsi" w:hAnsiTheme="minorHAnsi" w:cstheme="minorHAnsi"/>
          <w:sz w:val="22"/>
          <w:szCs w:val="22"/>
        </w:rPr>
        <w:t>n</w:t>
      </w:r>
      <w:r w:rsidR="00166DA0" w:rsidRPr="008C37FB">
        <w:rPr>
          <w:rFonts w:asciiTheme="minorHAnsi" w:hAnsiTheme="minorHAnsi" w:cstheme="minorHAnsi"/>
          <w:sz w:val="22"/>
          <w:szCs w:val="22"/>
        </w:rPr>
        <w:t xml:space="preserve"> HR of at least 2 to 3-fold </w:t>
      </w:r>
      <w:r w:rsidR="00166DA0">
        <w:rPr>
          <w:rFonts w:asciiTheme="minorHAnsi" w:hAnsiTheme="minorHAnsi" w:cstheme="minorHAnsi"/>
          <w:sz w:val="22"/>
          <w:szCs w:val="22"/>
        </w:rPr>
        <w:t>for any</w:t>
      </w:r>
      <w:r w:rsidR="00166DA0" w:rsidRPr="008C37FB">
        <w:rPr>
          <w:rFonts w:asciiTheme="minorHAnsi" w:hAnsiTheme="minorHAnsi" w:cstheme="minorHAnsi"/>
          <w:sz w:val="22"/>
          <w:szCs w:val="22"/>
        </w:rPr>
        <w:t xml:space="preserve"> unmeasured confound</w:t>
      </w:r>
      <w:r w:rsidR="00166DA0">
        <w:rPr>
          <w:rFonts w:asciiTheme="minorHAnsi" w:hAnsiTheme="minorHAnsi" w:cstheme="minorHAnsi"/>
          <w:sz w:val="22"/>
          <w:szCs w:val="22"/>
        </w:rPr>
        <w:t>ers</w:t>
      </w:r>
      <w:r w:rsidR="00166DA0" w:rsidRPr="008C37FB">
        <w:rPr>
          <w:rFonts w:asciiTheme="minorHAnsi" w:hAnsiTheme="minorHAnsi" w:cstheme="minorHAnsi"/>
          <w:sz w:val="22"/>
          <w:szCs w:val="22"/>
        </w:rPr>
        <w:t xml:space="preserve"> associated with early-life factors and </w:t>
      </w:r>
      <w:r w:rsidR="00A25688">
        <w:rPr>
          <w:rFonts w:asciiTheme="minorHAnsi" w:hAnsiTheme="minorHAnsi" w:cstheme="minorHAnsi"/>
          <w:sz w:val="22"/>
          <w:szCs w:val="22"/>
        </w:rPr>
        <w:t>DTC</w:t>
      </w:r>
      <w:r w:rsidR="00166DA0" w:rsidRPr="008C37FB">
        <w:rPr>
          <w:rFonts w:asciiTheme="minorHAnsi" w:hAnsiTheme="minorHAnsi" w:cstheme="minorHAnsi"/>
          <w:sz w:val="22"/>
          <w:szCs w:val="22"/>
        </w:rPr>
        <w:t xml:space="preserve"> would be necessary to explain the observed associations</w:t>
      </w:r>
      <w:r w:rsidRPr="008C37FB">
        <w:rPr>
          <w:rFonts w:asciiTheme="minorHAnsi" w:hAnsiTheme="minorHAnsi" w:cstheme="minorHAnsi"/>
          <w:sz w:val="22"/>
          <w:szCs w:val="22"/>
        </w:rPr>
        <w:t xml:space="preserve">. The association for </w:t>
      </w:r>
      <w:r w:rsidR="00CE0F5F">
        <w:rPr>
          <w:rFonts w:asciiTheme="minorHAnsi" w:hAnsiTheme="minorHAnsi" w:cstheme="minorHAnsi"/>
          <w:sz w:val="22"/>
          <w:szCs w:val="22"/>
        </w:rPr>
        <w:t xml:space="preserve">weight relative to peers during teen years, ever not having enough to eat during childhood, and highest household education level at age 13 remained consistent </w:t>
      </w:r>
      <w:r w:rsidR="00A8316A">
        <w:rPr>
          <w:rFonts w:asciiTheme="minorHAnsi" w:hAnsiTheme="minorHAnsi" w:cstheme="minorHAnsi"/>
          <w:sz w:val="22"/>
          <w:szCs w:val="22"/>
        </w:rPr>
        <w:t xml:space="preserve">regardless of early- or late-onset DTC. Meanwhile, the association for </w:t>
      </w:r>
      <w:r w:rsidR="001A03C3">
        <w:rPr>
          <w:rFonts w:asciiTheme="minorHAnsi" w:hAnsiTheme="minorHAnsi" w:cstheme="minorHAnsi"/>
          <w:sz w:val="22"/>
          <w:szCs w:val="22"/>
        </w:rPr>
        <w:t xml:space="preserve">relative </w:t>
      </w:r>
      <w:r w:rsidRPr="008C37FB">
        <w:rPr>
          <w:rFonts w:asciiTheme="minorHAnsi" w:hAnsiTheme="minorHAnsi" w:cstheme="minorHAnsi"/>
          <w:sz w:val="22"/>
          <w:szCs w:val="22"/>
        </w:rPr>
        <w:t xml:space="preserve">height </w:t>
      </w:r>
      <w:r w:rsidR="00F552D4">
        <w:rPr>
          <w:rFonts w:asciiTheme="minorHAnsi" w:hAnsiTheme="minorHAnsi" w:cstheme="minorHAnsi"/>
          <w:sz w:val="22"/>
          <w:szCs w:val="22"/>
        </w:rPr>
        <w:t xml:space="preserve">compared to peers </w:t>
      </w:r>
      <w:r w:rsidRPr="008C37FB">
        <w:rPr>
          <w:rFonts w:asciiTheme="minorHAnsi" w:hAnsiTheme="minorHAnsi" w:cstheme="minorHAnsi"/>
          <w:sz w:val="22"/>
          <w:szCs w:val="22"/>
        </w:rPr>
        <w:t>at age 10</w:t>
      </w:r>
      <w:r w:rsidR="00186933">
        <w:rPr>
          <w:rFonts w:asciiTheme="minorHAnsi" w:hAnsiTheme="minorHAnsi" w:cstheme="minorHAnsi"/>
          <w:sz w:val="22"/>
          <w:szCs w:val="22"/>
        </w:rPr>
        <w:t xml:space="preserve"> </w:t>
      </w:r>
      <w:r w:rsidRPr="008C37FB">
        <w:rPr>
          <w:rFonts w:asciiTheme="minorHAnsi" w:hAnsiTheme="minorHAnsi" w:cstheme="minorHAnsi"/>
          <w:sz w:val="22"/>
          <w:szCs w:val="22"/>
        </w:rPr>
        <w:t xml:space="preserve">appeared to be stronger </w:t>
      </w:r>
      <w:r w:rsidR="001A03C3">
        <w:rPr>
          <w:rFonts w:asciiTheme="minorHAnsi" w:hAnsiTheme="minorHAnsi" w:cstheme="minorHAnsi"/>
          <w:sz w:val="22"/>
          <w:szCs w:val="22"/>
        </w:rPr>
        <w:t>for</w:t>
      </w:r>
      <w:r w:rsidR="001A03C3" w:rsidRPr="008C37FB">
        <w:rPr>
          <w:rFonts w:asciiTheme="minorHAnsi" w:hAnsiTheme="minorHAnsi" w:cstheme="minorHAnsi"/>
          <w:sz w:val="22"/>
          <w:szCs w:val="22"/>
        </w:rPr>
        <w:t xml:space="preserve"> </w:t>
      </w:r>
      <w:r w:rsidRPr="008C37FB">
        <w:rPr>
          <w:rFonts w:asciiTheme="minorHAnsi" w:hAnsiTheme="minorHAnsi" w:cstheme="minorHAnsi"/>
          <w:sz w:val="22"/>
          <w:szCs w:val="22"/>
        </w:rPr>
        <w:t>early-</w:t>
      </w:r>
      <w:r w:rsidR="001A03C3">
        <w:rPr>
          <w:rFonts w:asciiTheme="minorHAnsi" w:hAnsiTheme="minorHAnsi" w:cstheme="minorHAnsi"/>
          <w:sz w:val="22"/>
          <w:szCs w:val="22"/>
        </w:rPr>
        <w:t xml:space="preserve"> versus later-</w:t>
      </w:r>
      <w:r w:rsidRPr="008C37FB">
        <w:rPr>
          <w:rFonts w:asciiTheme="minorHAnsi" w:hAnsiTheme="minorHAnsi" w:cstheme="minorHAnsi"/>
          <w:sz w:val="22"/>
          <w:szCs w:val="22"/>
        </w:rPr>
        <w:t xml:space="preserve">onset </w:t>
      </w:r>
      <w:r w:rsidR="001A03C3">
        <w:rPr>
          <w:rFonts w:asciiTheme="minorHAnsi" w:hAnsiTheme="minorHAnsi" w:cstheme="minorHAnsi"/>
          <w:sz w:val="22"/>
          <w:szCs w:val="22"/>
        </w:rPr>
        <w:t>DTC</w:t>
      </w:r>
      <w:r w:rsidRPr="008C37FB">
        <w:rPr>
          <w:rFonts w:asciiTheme="minorHAnsi" w:hAnsiTheme="minorHAnsi" w:cstheme="minorHAnsi"/>
          <w:sz w:val="22"/>
          <w:szCs w:val="22"/>
        </w:rPr>
        <w:t xml:space="preserve">. The interpretation </w:t>
      </w:r>
      <w:r w:rsidR="001A03C3">
        <w:rPr>
          <w:rFonts w:asciiTheme="minorHAnsi" w:hAnsiTheme="minorHAnsi" w:cstheme="minorHAnsi"/>
          <w:sz w:val="22"/>
          <w:szCs w:val="22"/>
        </w:rPr>
        <w:t xml:space="preserve">of the findings </w:t>
      </w:r>
      <w:r w:rsidRPr="008C37FB">
        <w:rPr>
          <w:rFonts w:asciiTheme="minorHAnsi" w:hAnsiTheme="minorHAnsi" w:cstheme="minorHAnsi"/>
          <w:sz w:val="22"/>
          <w:szCs w:val="22"/>
        </w:rPr>
        <w:t xml:space="preserve">did not change </w:t>
      </w:r>
      <w:r w:rsidR="008B7A07">
        <w:rPr>
          <w:rFonts w:asciiTheme="minorHAnsi" w:hAnsiTheme="minorHAnsi" w:cstheme="minorHAnsi"/>
          <w:sz w:val="22"/>
          <w:szCs w:val="22"/>
        </w:rPr>
        <w:t xml:space="preserve">when </w:t>
      </w:r>
      <w:r w:rsidR="00A25688">
        <w:rPr>
          <w:rFonts w:asciiTheme="minorHAnsi" w:hAnsiTheme="minorHAnsi" w:cstheme="minorHAnsi"/>
          <w:sz w:val="22"/>
          <w:szCs w:val="22"/>
        </w:rPr>
        <w:t>restricting to</w:t>
      </w:r>
      <w:r w:rsidR="00A25688"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medically confirmed or papillary </w:t>
      </w:r>
      <w:r w:rsidR="00A25688">
        <w:rPr>
          <w:rFonts w:asciiTheme="minorHAnsi" w:hAnsiTheme="minorHAnsi" w:cstheme="minorHAnsi"/>
          <w:sz w:val="22"/>
          <w:szCs w:val="22"/>
        </w:rPr>
        <w:t>cases</w:t>
      </w:r>
      <w:r w:rsidR="00A25688" w:rsidRPr="008C37FB">
        <w:rPr>
          <w:rFonts w:asciiTheme="minorHAnsi" w:hAnsiTheme="minorHAnsi" w:cstheme="minorHAnsi"/>
          <w:sz w:val="22"/>
          <w:szCs w:val="22"/>
        </w:rPr>
        <w:t xml:space="preserve"> </w:t>
      </w:r>
      <w:r w:rsidRPr="008C37FB">
        <w:rPr>
          <w:rFonts w:asciiTheme="minorHAnsi" w:hAnsiTheme="minorHAnsi" w:cstheme="minorHAnsi"/>
          <w:sz w:val="22"/>
          <w:szCs w:val="22"/>
        </w:rPr>
        <w:t>(</w:t>
      </w:r>
      <w:r w:rsidRPr="003503C6">
        <w:rPr>
          <w:rFonts w:asciiTheme="minorHAnsi" w:hAnsiTheme="minorHAnsi" w:cstheme="minorHAnsi"/>
          <w:b/>
          <w:bCs/>
          <w:sz w:val="22"/>
          <w:szCs w:val="22"/>
        </w:rPr>
        <w:t xml:space="preserve">Supplementary table </w:t>
      </w:r>
      <w:r w:rsidR="00271A0E" w:rsidRPr="003503C6">
        <w:rPr>
          <w:rFonts w:asciiTheme="minorHAnsi" w:hAnsiTheme="minorHAnsi" w:cstheme="minorHAnsi"/>
          <w:b/>
          <w:bCs/>
          <w:sz w:val="22"/>
          <w:szCs w:val="22"/>
        </w:rPr>
        <w:t>3</w:t>
      </w:r>
      <w:r w:rsidRPr="008C37FB">
        <w:rPr>
          <w:rFonts w:asciiTheme="minorHAnsi" w:hAnsiTheme="minorHAnsi" w:cstheme="minorHAnsi"/>
          <w:sz w:val="22"/>
          <w:szCs w:val="22"/>
        </w:rPr>
        <w:t>).</w:t>
      </w:r>
    </w:p>
    <w:p w14:paraId="52B5C57C" w14:textId="101FCC4E" w:rsidR="0004622F" w:rsidRDefault="00DD32ED" w:rsidP="003C77CE">
      <w:pPr>
        <w:pStyle w:val="Heading1"/>
      </w:pPr>
      <w:r w:rsidRPr="008C37FB">
        <w:t>Discussion</w:t>
      </w:r>
      <w:r w:rsidR="00020598">
        <w:t xml:space="preserve"> </w:t>
      </w:r>
    </w:p>
    <w:p w14:paraId="1BF18EF8" w14:textId="189E3879" w:rsidR="00F95C10" w:rsidRDefault="00A25688" w:rsidP="008A6EEC">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Our study contributes to the limited evidence on early-life factors and DTC incidence.</w:t>
      </w:r>
      <w:r w:rsidR="00023F2F">
        <w:rPr>
          <w:rFonts w:asciiTheme="minorHAnsi" w:hAnsiTheme="minorHAnsi" w:cstheme="minorHAnsi"/>
          <w:sz w:val="22"/>
          <w:szCs w:val="22"/>
        </w:rPr>
        <w:t xml:space="preserve"> </w:t>
      </w:r>
      <w:r w:rsidR="001828A6">
        <w:rPr>
          <w:rFonts w:asciiTheme="minorHAnsi" w:hAnsiTheme="minorHAnsi" w:cstheme="minorHAnsi"/>
          <w:sz w:val="22"/>
          <w:szCs w:val="22"/>
        </w:rPr>
        <w:t xml:space="preserve">The </w:t>
      </w:r>
      <w:r w:rsidR="00D913AD">
        <w:rPr>
          <w:rFonts w:asciiTheme="minorHAnsi" w:hAnsiTheme="minorHAnsi" w:cstheme="minorHAnsi"/>
          <w:sz w:val="22"/>
          <w:szCs w:val="22"/>
        </w:rPr>
        <w:t xml:space="preserve">current </w:t>
      </w:r>
      <w:r w:rsidR="001828A6">
        <w:rPr>
          <w:rFonts w:asciiTheme="minorHAnsi" w:hAnsiTheme="minorHAnsi" w:cstheme="minorHAnsi"/>
          <w:sz w:val="22"/>
          <w:szCs w:val="22"/>
        </w:rPr>
        <w:t xml:space="preserve">study </w:t>
      </w:r>
      <w:r w:rsidR="00034F07">
        <w:rPr>
          <w:rFonts w:asciiTheme="minorHAnsi" w:hAnsiTheme="minorHAnsi" w:cstheme="minorHAnsi"/>
          <w:sz w:val="22"/>
          <w:szCs w:val="22"/>
        </w:rPr>
        <w:t>found</w:t>
      </w:r>
      <w:r w:rsidR="00E01F04">
        <w:rPr>
          <w:rFonts w:asciiTheme="minorHAnsi" w:hAnsiTheme="minorHAnsi" w:cstheme="minorHAnsi"/>
          <w:sz w:val="22"/>
          <w:szCs w:val="22"/>
        </w:rPr>
        <w:t xml:space="preserve"> higher </w:t>
      </w:r>
      <w:r w:rsidR="008F7831">
        <w:rPr>
          <w:rFonts w:asciiTheme="minorHAnsi" w:hAnsiTheme="minorHAnsi" w:cstheme="minorHAnsi"/>
          <w:sz w:val="22"/>
          <w:szCs w:val="22"/>
        </w:rPr>
        <w:t xml:space="preserve">DTC </w:t>
      </w:r>
      <w:r w:rsidR="00E01F04">
        <w:rPr>
          <w:rFonts w:asciiTheme="minorHAnsi" w:hAnsiTheme="minorHAnsi" w:cstheme="minorHAnsi"/>
          <w:sz w:val="22"/>
          <w:szCs w:val="22"/>
        </w:rPr>
        <w:t xml:space="preserve">incidence associated with </w:t>
      </w:r>
      <w:r>
        <w:rPr>
          <w:rFonts w:asciiTheme="minorHAnsi" w:hAnsiTheme="minorHAnsi" w:cstheme="minorHAnsi"/>
          <w:sz w:val="22"/>
          <w:szCs w:val="22"/>
        </w:rPr>
        <w:t xml:space="preserve">relative </w:t>
      </w:r>
      <w:r w:rsidR="00E01F04">
        <w:rPr>
          <w:rFonts w:asciiTheme="minorHAnsi" w:hAnsiTheme="minorHAnsi" w:cstheme="minorHAnsi"/>
          <w:sz w:val="22"/>
          <w:szCs w:val="22"/>
        </w:rPr>
        <w:t>early-life body size</w:t>
      </w:r>
      <w:r>
        <w:rPr>
          <w:rFonts w:asciiTheme="minorHAnsi" w:hAnsiTheme="minorHAnsi" w:cstheme="minorHAnsi"/>
          <w:sz w:val="22"/>
          <w:szCs w:val="22"/>
        </w:rPr>
        <w:t xml:space="preserve">, </w:t>
      </w:r>
      <w:r w:rsidR="00956859">
        <w:rPr>
          <w:rFonts w:asciiTheme="minorHAnsi" w:hAnsiTheme="minorHAnsi" w:cstheme="minorHAnsi"/>
          <w:sz w:val="22"/>
          <w:szCs w:val="22"/>
        </w:rPr>
        <w:t>specifically</w:t>
      </w:r>
      <w:r>
        <w:rPr>
          <w:rFonts w:asciiTheme="minorHAnsi" w:hAnsiTheme="minorHAnsi" w:cstheme="minorHAnsi"/>
          <w:sz w:val="22"/>
          <w:szCs w:val="22"/>
        </w:rPr>
        <w:t>,</w:t>
      </w:r>
      <w:r w:rsidR="00D119BF">
        <w:rPr>
          <w:rFonts w:asciiTheme="minorHAnsi" w:hAnsiTheme="minorHAnsi" w:cstheme="minorHAnsi"/>
          <w:sz w:val="22"/>
          <w:szCs w:val="22"/>
        </w:rPr>
        <w:t xml:space="preserve"> </w:t>
      </w:r>
      <w:r w:rsidR="00E01F04" w:rsidRPr="008C37FB">
        <w:rPr>
          <w:rFonts w:asciiTheme="minorHAnsi" w:hAnsiTheme="minorHAnsi" w:cstheme="minorHAnsi"/>
          <w:sz w:val="22"/>
          <w:szCs w:val="22"/>
        </w:rPr>
        <w:t>taller</w:t>
      </w:r>
      <w:r>
        <w:rPr>
          <w:rFonts w:asciiTheme="minorHAnsi" w:hAnsiTheme="minorHAnsi" w:cstheme="minorHAnsi"/>
          <w:sz w:val="22"/>
          <w:szCs w:val="22"/>
        </w:rPr>
        <w:t xml:space="preserve"> height</w:t>
      </w:r>
      <w:r w:rsidR="00E01F04" w:rsidRPr="008C37FB">
        <w:rPr>
          <w:rFonts w:asciiTheme="minorHAnsi" w:hAnsiTheme="minorHAnsi" w:cstheme="minorHAnsi"/>
          <w:sz w:val="22"/>
          <w:szCs w:val="22"/>
        </w:rPr>
        <w:t xml:space="preserve"> </w:t>
      </w:r>
      <w:r>
        <w:rPr>
          <w:rFonts w:asciiTheme="minorHAnsi" w:hAnsiTheme="minorHAnsi" w:cstheme="minorHAnsi"/>
          <w:sz w:val="22"/>
          <w:szCs w:val="22"/>
        </w:rPr>
        <w:t>than</w:t>
      </w:r>
      <w:r w:rsidR="00E01F04" w:rsidRPr="008C37FB">
        <w:rPr>
          <w:rFonts w:asciiTheme="minorHAnsi" w:hAnsiTheme="minorHAnsi" w:cstheme="minorHAnsi"/>
          <w:sz w:val="22"/>
          <w:szCs w:val="22"/>
        </w:rPr>
        <w:t xml:space="preserve"> peers at age 1</w:t>
      </w:r>
      <w:r>
        <w:rPr>
          <w:rFonts w:asciiTheme="minorHAnsi" w:hAnsiTheme="minorHAnsi" w:cstheme="minorHAnsi"/>
          <w:sz w:val="22"/>
          <w:szCs w:val="22"/>
        </w:rPr>
        <w:t xml:space="preserve">0, </w:t>
      </w:r>
      <w:r w:rsidR="00E01F04" w:rsidRPr="008C37FB">
        <w:rPr>
          <w:rFonts w:asciiTheme="minorHAnsi" w:hAnsiTheme="minorHAnsi" w:cstheme="minorHAnsi"/>
          <w:sz w:val="22"/>
          <w:szCs w:val="22"/>
        </w:rPr>
        <w:t>lighter or heavier</w:t>
      </w:r>
      <w:r>
        <w:rPr>
          <w:rFonts w:asciiTheme="minorHAnsi" w:hAnsiTheme="minorHAnsi" w:cstheme="minorHAnsi"/>
          <w:sz w:val="22"/>
          <w:szCs w:val="22"/>
        </w:rPr>
        <w:t xml:space="preserve"> weight</w:t>
      </w:r>
      <w:r w:rsidR="00E01F04" w:rsidRPr="008C37FB">
        <w:rPr>
          <w:rFonts w:asciiTheme="minorHAnsi" w:hAnsiTheme="minorHAnsi" w:cstheme="minorHAnsi"/>
          <w:sz w:val="22"/>
          <w:szCs w:val="22"/>
        </w:rPr>
        <w:t xml:space="preserve"> than peers during </w:t>
      </w:r>
      <w:r w:rsidR="00CE3844">
        <w:rPr>
          <w:rFonts w:asciiTheme="minorHAnsi" w:hAnsiTheme="minorHAnsi" w:cstheme="minorHAnsi"/>
          <w:sz w:val="22"/>
          <w:szCs w:val="22"/>
        </w:rPr>
        <w:t>teen years</w:t>
      </w:r>
      <w:r>
        <w:rPr>
          <w:rFonts w:asciiTheme="minorHAnsi" w:hAnsiTheme="minorHAnsi" w:cstheme="minorHAnsi"/>
          <w:sz w:val="22"/>
          <w:szCs w:val="22"/>
        </w:rPr>
        <w:t>, and</w:t>
      </w:r>
      <w:r w:rsidR="00D7539E">
        <w:rPr>
          <w:rFonts w:asciiTheme="minorHAnsi" w:hAnsiTheme="minorHAnsi" w:cstheme="minorHAnsi"/>
          <w:sz w:val="22"/>
          <w:szCs w:val="22"/>
        </w:rPr>
        <w:t xml:space="preserve"> </w:t>
      </w:r>
      <w:r w:rsidR="00D7539E" w:rsidRPr="008C37FB">
        <w:rPr>
          <w:rFonts w:asciiTheme="minorHAnsi" w:hAnsiTheme="minorHAnsi" w:cstheme="minorHAnsi"/>
          <w:sz w:val="22"/>
          <w:szCs w:val="22"/>
        </w:rPr>
        <w:t>not having enough to eat during childhood</w:t>
      </w:r>
      <w:r w:rsidR="004C67E7" w:rsidRPr="00D67DBC">
        <w:rPr>
          <w:rFonts w:asciiTheme="minorHAnsi" w:hAnsiTheme="minorHAnsi" w:cstheme="minorHAnsi"/>
          <w:sz w:val="22"/>
          <w:szCs w:val="22"/>
        </w:rPr>
        <w:t>.</w:t>
      </w:r>
      <w:r w:rsidR="00E01F04">
        <w:rPr>
          <w:rFonts w:asciiTheme="minorHAnsi" w:hAnsiTheme="minorHAnsi" w:cstheme="minorHAnsi"/>
          <w:sz w:val="22"/>
          <w:szCs w:val="22"/>
        </w:rPr>
        <w:t xml:space="preserve"> </w:t>
      </w:r>
      <w:r>
        <w:rPr>
          <w:rFonts w:asciiTheme="minorHAnsi" w:hAnsiTheme="minorHAnsi" w:cstheme="minorHAnsi"/>
          <w:sz w:val="22"/>
          <w:szCs w:val="22"/>
        </w:rPr>
        <w:t>Greater household education was</w:t>
      </w:r>
      <w:r w:rsidR="00A036F0">
        <w:rPr>
          <w:rFonts w:asciiTheme="minorHAnsi" w:hAnsiTheme="minorHAnsi" w:cstheme="minorHAnsi"/>
          <w:sz w:val="22"/>
          <w:szCs w:val="22"/>
        </w:rPr>
        <w:t xml:space="preserve"> </w:t>
      </w:r>
      <w:r>
        <w:rPr>
          <w:rFonts w:asciiTheme="minorHAnsi" w:hAnsiTheme="minorHAnsi" w:cstheme="minorHAnsi"/>
          <w:sz w:val="22"/>
          <w:szCs w:val="22"/>
        </w:rPr>
        <w:t>associated with</w:t>
      </w:r>
      <w:r w:rsidR="00D67DBC" w:rsidRPr="00D67DBC">
        <w:rPr>
          <w:rFonts w:asciiTheme="minorHAnsi" w:hAnsiTheme="minorHAnsi" w:cstheme="minorHAnsi"/>
          <w:sz w:val="22"/>
          <w:szCs w:val="22"/>
        </w:rPr>
        <w:t xml:space="preserve"> lower DTC </w:t>
      </w:r>
      <w:r w:rsidR="00BC102D">
        <w:rPr>
          <w:rFonts w:asciiTheme="minorHAnsi" w:hAnsiTheme="minorHAnsi" w:cstheme="minorHAnsi"/>
          <w:sz w:val="22"/>
          <w:szCs w:val="22"/>
        </w:rPr>
        <w:t>incidence</w:t>
      </w:r>
      <w:r w:rsidR="00D67DBC" w:rsidRPr="00D67DBC">
        <w:rPr>
          <w:rFonts w:asciiTheme="minorHAnsi" w:hAnsiTheme="minorHAnsi" w:cstheme="minorHAnsi"/>
          <w:sz w:val="22"/>
          <w:szCs w:val="22"/>
        </w:rPr>
        <w:t>.</w:t>
      </w:r>
      <w:r w:rsidR="001A79D0">
        <w:rPr>
          <w:rFonts w:asciiTheme="minorHAnsi" w:hAnsiTheme="minorHAnsi" w:cstheme="minorHAnsi"/>
          <w:sz w:val="22"/>
          <w:szCs w:val="22"/>
        </w:rPr>
        <w:t xml:space="preserve"> </w:t>
      </w:r>
      <w:r>
        <w:rPr>
          <w:rFonts w:asciiTheme="minorHAnsi" w:hAnsiTheme="minorHAnsi" w:cstheme="minorHAnsi"/>
          <w:sz w:val="22"/>
          <w:szCs w:val="22"/>
        </w:rPr>
        <w:t xml:space="preserve">We found no clear </w:t>
      </w:r>
      <w:r w:rsidR="00A003D3">
        <w:rPr>
          <w:rFonts w:asciiTheme="minorHAnsi" w:hAnsiTheme="minorHAnsi" w:cstheme="minorHAnsi"/>
          <w:sz w:val="22"/>
          <w:szCs w:val="22"/>
        </w:rPr>
        <w:t>associations for early-life reproductive</w:t>
      </w:r>
      <w:r>
        <w:rPr>
          <w:rFonts w:asciiTheme="minorHAnsi" w:hAnsiTheme="minorHAnsi" w:cstheme="minorHAnsi"/>
          <w:sz w:val="22"/>
          <w:szCs w:val="22"/>
        </w:rPr>
        <w:t xml:space="preserve"> or hormonal</w:t>
      </w:r>
      <w:r w:rsidR="00A003D3">
        <w:rPr>
          <w:rFonts w:asciiTheme="minorHAnsi" w:hAnsiTheme="minorHAnsi" w:cstheme="minorHAnsi"/>
          <w:sz w:val="22"/>
          <w:szCs w:val="22"/>
        </w:rPr>
        <w:t xml:space="preserve"> factors</w:t>
      </w:r>
      <w:r>
        <w:rPr>
          <w:rFonts w:asciiTheme="minorHAnsi" w:hAnsiTheme="minorHAnsi" w:cstheme="minorHAnsi"/>
          <w:sz w:val="22"/>
          <w:szCs w:val="22"/>
        </w:rPr>
        <w:t>, such as age at breast development or menarche or use of oral contraceptives before age 20</w:t>
      </w:r>
      <w:r w:rsidR="00A003D3">
        <w:rPr>
          <w:rFonts w:asciiTheme="minorHAnsi" w:hAnsiTheme="minorHAnsi" w:cstheme="minorHAnsi"/>
          <w:sz w:val="22"/>
          <w:szCs w:val="22"/>
        </w:rPr>
        <w:t xml:space="preserve">. </w:t>
      </w:r>
      <w:r w:rsidR="0021652E" w:rsidRPr="00CE3CF4">
        <w:rPr>
          <w:rFonts w:asciiTheme="minorHAnsi" w:hAnsiTheme="minorHAnsi" w:cstheme="minorHAnsi"/>
          <w:sz w:val="22"/>
          <w:szCs w:val="22"/>
        </w:rPr>
        <w:t xml:space="preserve">We were able to </w:t>
      </w:r>
      <w:r w:rsidR="0021652E">
        <w:rPr>
          <w:rFonts w:asciiTheme="minorHAnsi" w:hAnsiTheme="minorHAnsi" w:cstheme="minorHAnsi"/>
          <w:sz w:val="22"/>
          <w:szCs w:val="22"/>
        </w:rPr>
        <w:t>account</w:t>
      </w:r>
      <w:r w:rsidR="0021652E" w:rsidRPr="00CE3CF4">
        <w:rPr>
          <w:rFonts w:asciiTheme="minorHAnsi" w:hAnsiTheme="minorHAnsi" w:cstheme="minorHAnsi"/>
          <w:sz w:val="22"/>
          <w:szCs w:val="22"/>
        </w:rPr>
        <w:t xml:space="preserve"> for potential </w:t>
      </w:r>
      <w:r w:rsidR="0021652E">
        <w:rPr>
          <w:rFonts w:asciiTheme="minorHAnsi" w:hAnsiTheme="minorHAnsi" w:cstheme="minorHAnsi"/>
          <w:sz w:val="22"/>
          <w:szCs w:val="22"/>
        </w:rPr>
        <w:t>mediating</w:t>
      </w:r>
      <w:r w:rsidR="0021652E" w:rsidRPr="00CE3CF4">
        <w:rPr>
          <w:rFonts w:asciiTheme="minorHAnsi" w:hAnsiTheme="minorHAnsi" w:cstheme="minorHAnsi"/>
          <w:sz w:val="22"/>
          <w:szCs w:val="22"/>
        </w:rPr>
        <w:t xml:space="preserve"> factors</w:t>
      </w:r>
      <w:r w:rsidR="0021652E">
        <w:rPr>
          <w:rFonts w:asciiTheme="minorHAnsi" w:hAnsiTheme="minorHAnsi" w:cstheme="minorHAnsi"/>
          <w:sz w:val="22"/>
          <w:szCs w:val="22"/>
        </w:rPr>
        <w:t xml:space="preserve"> </w:t>
      </w:r>
      <w:r w:rsidR="004E0A0E">
        <w:rPr>
          <w:rFonts w:asciiTheme="minorHAnsi" w:hAnsiTheme="minorHAnsi" w:cstheme="minorHAnsi"/>
          <w:sz w:val="22"/>
          <w:szCs w:val="22"/>
        </w:rPr>
        <w:t xml:space="preserve">in adulthood </w:t>
      </w:r>
      <w:r w:rsidR="0021652E" w:rsidRPr="008C37FB">
        <w:rPr>
          <w:rFonts w:asciiTheme="minorHAnsi" w:hAnsiTheme="minorHAnsi" w:cstheme="minorHAnsi"/>
          <w:sz w:val="22"/>
          <w:szCs w:val="22"/>
        </w:rPr>
        <w:t>such as baseline BMI, household annual income, and education levels</w:t>
      </w:r>
      <w:r w:rsidR="00235DD0">
        <w:rPr>
          <w:rFonts w:asciiTheme="minorHAnsi" w:hAnsiTheme="minorHAnsi" w:cstheme="minorHAnsi"/>
          <w:sz w:val="22"/>
          <w:szCs w:val="22"/>
        </w:rPr>
        <w:t xml:space="preserve">. </w:t>
      </w:r>
      <w:r w:rsidR="00F21F53">
        <w:rPr>
          <w:rFonts w:asciiTheme="minorHAnsi" w:hAnsiTheme="minorHAnsi" w:cstheme="minorHAnsi"/>
          <w:sz w:val="22"/>
          <w:szCs w:val="22"/>
        </w:rPr>
        <w:t>W</w:t>
      </w:r>
      <w:r w:rsidR="00C55F26">
        <w:rPr>
          <w:rFonts w:asciiTheme="minorHAnsi" w:hAnsiTheme="minorHAnsi" w:cstheme="minorHAnsi"/>
          <w:sz w:val="22"/>
          <w:szCs w:val="22"/>
        </w:rPr>
        <w:t xml:space="preserve">e noted possible interactions between </w:t>
      </w:r>
      <w:r w:rsidR="0052485B">
        <w:rPr>
          <w:rFonts w:asciiTheme="minorHAnsi" w:hAnsiTheme="minorHAnsi" w:cstheme="minorHAnsi"/>
          <w:sz w:val="22"/>
          <w:szCs w:val="22"/>
        </w:rPr>
        <w:t>weight relative to peers</w:t>
      </w:r>
      <w:r w:rsidR="00FE6362">
        <w:rPr>
          <w:rFonts w:asciiTheme="minorHAnsi" w:hAnsiTheme="minorHAnsi" w:cstheme="minorHAnsi"/>
          <w:sz w:val="22"/>
          <w:szCs w:val="22"/>
        </w:rPr>
        <w:t xml:space="preserve"> during teen years </w:t>
      </w:r>
      <w:r w:rsidR="00C55F26">
        <w:rPr>
          <w:rFonts w:asciiTheme="minorHAnsi" w:hAnsiTheme="minorHAnsi" w:cstheme="minorHAnsi"/>
          <w:sz w:val="22"/>
          <w:szCs w:val="22"/>
        </w:rPr>
        <w:t>and</w:t>
      </w:r>
      <w:r w:rsidR="00FE6362">
        <w:rPr>
          <w:rFonts w:asciiTheme="minorHAnsi" w:hAnsiTheme="minorHAnsi" w:cstheme="minorHAnsi"/>
          <w:sz w:val="22"/>
          <w:szCs w:val="22"/>
        </w:rPr>
        <w:t xml:space="preserve"> </w:t>
      </w:r>
      <w:r w:rsidR="00F21F53">
        <w:rPr>
          <w:rFonts w:asciiTheme="minorHAnsi" w:hAnsiTheme="minorHAnsi" w:cstheme="minorHAnsi"/>
          <w:sz w:val="22"/>
          <w:szCs w:val="22"/>
        </w:rPr>
        <w:t xml:space="preserve">baseline </w:t>
      </w:r>
      <w:r w:rsidR="00FE6362">
        <w:rPr>
          <w:rFonts w:asciiTheme="minorHAnsi" w:hAnsiTheme="minorHAnsi" w:cstheme="minorHAnsi"/>
          <w:sz w:val="22"/>
          <w:szCs w:val="22"/>
        </w:rPr>
        <w:t>BMI</w:t>
      </w:r>
      <w:r w:rsidR="00F73840">
        <w:rPr>
          <w:rFonts w:asciiTheme="minorHAnsi" w:hAnsiTheme="minorHAnsi" w:cstheme="minorHAnsi"/>
          <w:sz w:val="22"/>
          <w:szCs w:val="22"/>
        </w:rPr>
        <w:t xml:space="preserve"> while there was</w:t>
      </w:r>
      <w:r w:rsidR="00F21F53">
        <w:rPr>
          <w:rFonts w:asciiTheme="minorHAnsi" w:hAnsiTheme="minorHAnsi" w:cstheme="minorHAnsi"/>
          <w:sz w:val="22"/>
          <w:szCs w:val="22"/>
        </w:rPr>
        <w:t xml:space="preserve"> no variation </w:t>
      </w:r>
      <w:r w:rsidR="00D5126C">
        <w:rPr>
          <w:rFonts w:asciiTheme="minorHAnsi" w:hAnsiTheme="minorHAnsi" w:cstheme="minorHAnsi"/>
          <w:sz w:val="22"/>
          <w:szCs w:val="22"/>
        </w:rPr>
        <w:t>by</w:t>
      </w:r>
      <w:r w:rsidR="00D5126C" w:rsidRPr="00D67DBC">
        <w:rPr>
          <w:rFonts w:asciiTheme="minorHAnsi" w:hAnsiTheme="minorHAnsi" w:cstheme="minorHAnsi"/>
          <w:sz w:val="22"/>
          <w:szCs w:val="22"/>
        </w:rPr>
        <w:t xml:space="preserve"> socioeconomic </w:t>
      </w:r>
      <w:r w:rsidR="00D5126C">
        <w:rPr>
          <w:rFonts w:asciiTheme="minorHAnsi" w:hAnsiTheme="minorHAnsi" w:cstheme="minorHAnsi"/>
          <w:sz w:val="22"/>
          <w:szCs w:val="22"/>
        </w:rPr>
        <w:t>factors</w:t>
      </w:r>
      <w:r w:rsidR="001A79D0">
        <w:rPr>
          <w:rFonts w:asciiTheme="minorHAnsi" w:hAnsiTheme="minorHAnsi" w:cstheme="minorHAnsi"/>
          <w:sz w:val="22"/>
          <w:szCs w:val="22"/>
        </w:rPr>
        <w:t xml:space="preserve">. </w:t>
      </w:r>
    </w:p>
    <w:p w14:paraId="6C095C9D" w14:textId="78243A18" w:rsidR="0073426F" w:rsidRDefault="00A25688" w:rsidP="00063EB5">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A few</w:t>
      </w:r>
      <w:r w:rsidRPr="00855807">
        <w:rPr>
          <w:rFonts w:asciiTheme="minorHAnsi" w:hAnsiTheme="minorHAnsi" w:cstheme="minorHAnsi"/>
          <w:sz w:val="22"/>
          <w:szCs w:val="22"/>
        </w:rPr>
        <w:t xml:space="preserve"> </w:t>
      </w:r>
      <w:r w:rsidR="004C01C8">
        <w:rPr>
          <w:rFonts w:asciiTheme="minorHAnsi" w:hAnsiTheme="minorHAnsi" w:cstheme="minorHAnsi"/>
          <w:sz w:val="22"/>
          <w:szCs w:val="22"/>
        </w:rPr>
        <w:t xml:space="preserve">longitudinal </w:t>
      </w:r>
      <w:r w:rsidR="00855807" w:rsidRPr="00855807">
        <w:rPr>
          <w:rFonts w:asciiTheme="minorHAnsi" w:hAnsiTheme="minorHAnsi" w:cstheme="minorHAnsi"/>
          <w:sz w:val="22"/>
          <w:szCs w:val="22"/>
        </w:rPr>
        <w:t xml:space="preserve">studies have examined </w:t>
      </w:r>
      <w:r w:rsidR="001606A0">
        <w:rPr>
          <w:rFonts w:asciiTheme="minorHAnsi" w:hAnsiTheme="minorHAnsi" w:cstheme="minorHAnsi"/>
          <w:sz w:val="22"/>
          <w:szCs w:val="22"/>
        </w:rPr>
        <w:t>early-life body size</w:t>
      </w:r>
      <w:r w:rsidR="00855807" w:rsidRPr="00855807">
        <w:rPr>
          <w:rFonts w:asciiTheme="minorHAnsi" w:hAnsiTheme="minorHAnsi" w:cstheme="minorHAnsi"/>
          <w:sz w:val="22"/>
          <w:szCs w:val="22"/>
        </w:rPr>
        <w:t xml:space="preserve"> </w:t>
      </w:r>
      <w:r>
        <w:rPr>
          <w:rFonts w:asciiTheme="minorHAnsi" w:hAnsiTheme="minorHAnsi" w:cstheme="minorHAnsi"/>
          <w:sz w:val="22"/>
          <w:szCs w:val="22"/>
        </w:rPr>
        <w:t>in relation to</w:t>
      </w:r>
      <w:r w:rsidRPr="00855807">
        <w:rPr>
          <w:rFonts w:asciiTheme="minorHAnsi" w:hAnsiTheme="minorHAnsi" w:cstheme="minorHAnsi"/>
          <w:sz w:val="22"/>
          <w:szCs w:val="22"/>
        </w:rPr>
        <w:t xml:space="preserve"> </w:t>
      </w:r>
      <w:r w:rsidR="001606A0">
        <w:rPr>
          <w:rFonts w:asciiTheme="minorHAnsi" w:hAnsiTheme="minorHAnsi" w:cstheme="minorHAnsi"/>
          <w:sz w:val="22"/>
          <w:szCs w:val="22"/>
        </w:rPr>
        <w:t>DTC incidence</w:t>
      </w:r>
      <w:r w:rsidR="00855807"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In</w:t>
      </w:r>
      <w:r w:rsidR="00B20391" w:rsidRPr="00421788">
        <w:rPr>
          <w:rFonts w:asciiTheme="minorHAnsi" w:hAnsiTheme="minorHAnsi" w:cstheme="minorHAnsi"/>
          <w:sz w:val="22"/>
          <w:szCs w:val="22"/>
        </w:rPr>
        <w:t xml:space="preserve"> </w:t>
      </w:r>
      <w:r w:rsidR="00814384" w:rsidRPr="00421788">
        <w:rPr>
          <w:rFonts w:asciiTheme="minorHAnsi" w:hAnsiTheme="minorHAnsi" w:cstheme="minorHAnsi"/>
          <w:sz w:val="22"/>
          <w:szCs w:val="22"/>
        </w:rPr>
        <w:t>a</w:t>
      </w:r>
      <w:r w:rsidR="00E46B62" w:rsidRPr="00421788">
        <w:rPr>
          <w:rFonts w:asciiTheme="minorHAnsi" w:hAnsiTheme="minorHAnsi" w:cstheme="minorHAnsi"/>
          <w:sz w:val="22"/>
          <w:szCs w:val="22"/>
        </w:rPr>
        <w:t xml:space="preserve"> </w:t>
      </w:r>
      <w:r w:rsidR="00453999" w:rsidRPr="00421788">
        <w:rPr>
          <w:rFonts w:asciiTheme="minorHAnsi" w:hAnsiTheme="minorHAnsi" w:cstheme="minorHAnsi"/>
          <w:sz w:val="22"/>
          <w:szCs w:val="22"/>
        </w:rPr>
        <w:t>population-based</w:t>
      </w:r>
      <w:r w:rsidR="00994A94" w:rsidRPr="00421788">
        <w:rPr>
          <w:rFonts w:asciiTheme="minorHAnsi" w:hAnsiTheme="minorHAnsi" w:cstheme="minorHAnsi"/>
          <w:sz w:val="22"/>
          <w:szCs w:val="22"/>
        </w:rPr>
        <w:t xml:space="preserve"> cohort</w:t>
      </w:r>
      <w:r w:rsidR="00814384" w:rsidRPr="00421788">
        <w:rPr>
          <w:rFonts w:asciiTheme="minorHAnsi" w:hAnsiTheme="minorHAnsi" w:cstheme="minorHAnsi"/>
          <w:sz w:val="22"/>
          <w:szCs w:val="22"/>
        </w:rPr>
        <w:t xml:space="preserve"> of </w:t>
      </w:r>
      <w:r w:rsidR="001E29D0" w:rsidRPr="00421788">
        <w:rPr>
          <w:rFonts w:asciiTheme="minorHAnsi" w:hAnsiTheme="minorHAnsi" w:cstheme="minorHAnsi"/>
          <w:sz w:val="22"/>
          <w:szCs w:val="22"/>
        </w:rPr>
        <w:t>children and adolescen</w:t>
      </w:r>
      <w:r w:rsidR="00ED366E">
        <w:rPr>
          <w:rFonts w:asciiTheme="minorHAnsi" w:hAnsiTheme="minorHAnsi" w:cstheme="minorHAnsi"/>
          <w:sz w:val="22"/>
          <w:szCs w:val="22"/>
        </w:rPr>
        <w:t>ts</w:t>
      </w:r>
      <w:r w:rsidR="00DE59DA" w:rsidRPr="00421788">
        <w:rPr>
          <w:rFonts w:asciiTheme="minorHAnsi" w:hAnsiTheme="minorHAnsi" w:cstheme="minorHAnsi"/>
          <w:sz w:val="22"/>
          <w:szCs w:val="22"/>
        </w:rPr>
        <w:t xml:space="preserve"> in Denmark</w:t>
      </w:r>
      <w:r w:rsidR="007538E4" w:rsidRPr="00421788">
        <w:rPr>
          <w:rFonts w:asciiTheme="minorHAnsi" w:hAnsiTheme="minorHAnsi" w:cstheme="minorHAnsi"/>
          <w:sz w:val="22"/>
          <w:szCs w:val="22"/>
        </w:rPr>
        <w:t xml:space="preserve"> </w:t>
      </w:r>
      <w:r w:rsidR="00955CE1">
        <w:rPr>
          <w:rFonts w:asciiTheme="minorHAnsi" w:hAnsiTheme="minorHAnsi" w:cstheme="minorHAnsi"/>
          <w:sz w:val="22"/>
          <w:szCs w:val="22"/>
        </w:rPr>
        <w:t xml:space="preserve">with a </w:t>
      </w:r>
      <w:r w:rsidR="007538E4" w:rsidRPr="00421788">
        <w:rPr>
          <w:rFonts w:asciiTheme="minorHAnsi" w:hAnsiTheme="minorHAnsi" w:cstheme="minorHAnsi"/>
          <w:sz w:val="22"/>
          <w:szCs w:val="22"/>
        </w:rPr>
        <w:t>median follow-up</w:t>
      </w:r>
      <w:r w:rsidR="00955CE1">
        <w:rPr>
          <w:rFonts w:asciiTheme="minorHAnsi" w:hAnsiTheme="minorHAnsi" w:cstheme="minorHAnsi"/>
          <w:sz w:val="22"/>
          <w:szCs w:val="22"/>
        </w:rPr>
        <w:t xml:space="preserve"> of</w:t>
      </w:r>
      <w:r w:rsidR="007538E4" w:rsidRPr="00421788">
        <w:rPr>
          <w:rFonts w:asciiTheme="minorHAnsi" w:hAnsiTheme="minorHAnsi" w:cstheme="minorHAnsi"/>
          <w:sz w:val="22"/>
          <w:szCs w:val="22"/>
        </w:rPr>
        <w:t xml:space="preserve"> 3</w:t>
      </w:r>
      <w:r w:rsidR="00FE6362">
        <w:rPr>
          <w:rFonts w:asciiTheme="minorHAnsi" w:hAnsiTheme="minorHAnsi" w:cstheme="minorHAnsi"/>
          <w:sz w:val="22"/>
          <w:szCs w:val="22"/>
        </w:rPr>
        <w:t>9</w:t>
      </w:r>
      <w:r w:rsidR="007538E4" w:rsidRPr="00421788">
        <w:rPr>
          <w:rFonts w:asciiTheme="minorHAnsi" w:hAnsiTheme="minorHAnsi" w:cstheme="minorHAnsi"/>
          <w:sz w:val="22"/>
          <w:szCs w:val="22"/>
        </w:rPr>
        <w:t xml:space="preserve"> years</w:t>
      </w:r>
      <w:r w:rsidR="001E29D0" w:rsidRPr="00421788">
        <w:rPr>
          <w:rFonts w:asciiTheme="minorHAnsi" w:hAnsiTheme="minorHAnsi" w:cstheme="minorHAnsi"/>
          <w:sz w:val="22"/>
          <w:szCs w:val="22"/>
        </w:rPr>
        <w:t>,</w:t>
      </w:r>
      <w:r w:rsidR="00A279B3"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 xml:space="preserve">taller height and greater BMI </w:t>
      </w:r>
      <w:r w:rsidR="00B96DC2" w:rsidRPr="00421788">
        <w:rPr>
          <w:rFonts w:asciiTheme="minorHAnsi" w:hAnsiTheme="minorHAnsi" w:cstheme="minorHAnsi"/>
          <w:sz w:val="22"/>
          <w:szCs w:val="22"/>
        </w:rPr>
        <w:t xml:space="preserve">measured </w:t>
      </w:r>
      <w:r w:rsidR="001E29D0" w:rsidRPr="00421788">
        <w:rPr>
          <w:rFonts w:asciiTheme="minorHAnsi" w:hAnsiTheme="minorHAnsi" w:cstheme="minorHAnsi"/>
          <w:sz w:val="22"/>
          <w:szCs w:val="22"/>
        </w:rPr>
        <w:t xml:space="preserve">at </w:t>
      </w:r>
      <w:r w:rsidR="0007133C">
        <w:rPr>
          <w:rFonts w:asciiTheme="minorHAnsi" w:hAnsiTheme="minorHAnsi" w:cstheme="minorHAnsi"/>
          <w:sz w:val="22"/>
          <w:szCs w:val="22"/>
        </w:rPr>
        <w:t>every</w:t>
      </w:r>
      <w:r w:rsidR="001E29D0" w:rsidRPr="00421788">
        <w:rPr>
          <w:rFonts w:asciiTheme="minorHAnsi" w:hAnsiTheme="minorHAnsi" w:cstheme="minorHAnsi"/>
          <w:sz w:val="22"/>
          <w:szCs w:val="22"/>
        </w:rPr>
        <w:t xml:space="preserve"> age between 7</w:t>
      </w:r>
      <w:r w:rsidR="00BC7C44">
        <w:rPr>
          <w:rFonts w:asciiTheme="minorHAnsi" w:hAnsiTheme="minorHAnsi" w:cstheme="minorHAnsi"/>
          <w:sz w:val="22"/>
          <w:szCs w:val="22"/>
        </w:rPr>
        <w:t xml:space="preserve"> and </w:t>
      </w:r>
      <w:r w:rsidR="001E29D0" w:rsidRPr="00421788">
        <w:rPr>
          <w:rFonts w:asciiTheme="minorHAnsi" w:hAnsiTheme="minorHAnsi" w:cstheme="minorHAnsi"/>
          <w:sz w:val="22"/>
          <w:szCs w:val="22"/>
        </w:rPr>
        <w:t xml:space="preserve">13 </w:t>
      </w:r>
      <w:r w:rsidR="00560F87" w:rsidRPr="00421788">
        <w:rPr>
          <w:rFonts w:asciiTheme="minorHAnsi" w:hAnsiTheme="minorHAnsi" w:cstheme="minorHAnsi"/>
          <w:sz w:val="22"/>
          <w:szCs w:val="22"/>
        </w:rPr>
        <w:t xml:space="preserve">were associated with higher </w:t>
      </w:r>
      <w:r w:rsidR="003870DC">
        <w:rPr>
          <w:rFonts w:asciiTheme="minorHAnsi" w:hAnsiTheme="minorHAnsi" w:cstheme="minorHAnsi"/>
          <w:sz w:val="22"/>
          <w:szCs w:val="22"/>
        </w:rPr>
        <w:t xml:space="preserve">adult </w:t>
      </w:r>
      <w:r w:rsidR="00560F87" w:rsidRPr="00421788">
        <w:rPr>
          <w:rFonts w:asciiTheme="minorHAnsi" w:hAnsiTheme="minorHAnsi" w:cstheme="minorHAnsi"/>
          <w:sz w:val="22"/>
          <w:szCs w:val="22"/>
        </w:rPr>
        <w:t>thyroid cancer incidence</w:t>
      </w:r>
      <w:r w:rsidR="00C32AFD" w:rsidRPr="00421788">
        <w:rPr>
          <w:rFonts w:asciiTheme="minorHAnsi" w:hAnsiTheme="minorHAnsi" w:cstheme="minorHAnsi"/>
          <w:sz w:val="22"/>
          <w:szCs w:val="22"/>
        </w:rPr>
        <w:t xml:space="preserve">. The associations </w:t>
      </w:r>
      <w:r w:rsidR="00907000">
        <w:rPr>
          <w:rFonts w:asciiTheme="minorHAnsi" w:hAnsiTheme="minorHAnsi" w:cstheme="minorHAnsi"/>
          <w:sz w:val="22"/>
          <w:szCs w:val="22"/>
        </w:rPr>
        <w:t>for</w:t>
      </w:r>
      <w:r w:rsidR="00C32AFD" w:rsidRPr="00421788">
        <w:rPr>
          <w:rFonts w:asciiTheme="minorHAnsi" w:hAnsiTheme="minorHAnsi" w:cstheme="minorHAnsi"/>
          <w:sz w:val="22"/>
          <w:szCs w:val="22"/>
        </w:rPr>
        <w:t xml:space="preserve"> BMI were generally stronger for </w:t>
      </w:r>
      <w:r w:rsidR="007B26A0">
        <w:rPr>
          <w:rFonts w:asciiTheme="minorHAnsi" w:hAnsiTheme="minorHAnsi" w:cstheme="minorHAnsi"/>
          <w:sz w:val="22"/>
          <w:szCs w:val="22"/>
        </w:rPr>
        <w:t>those</w:t>
      </w:r>
      <w:r w:rsidR="00C32AFD" w:rsidRPr="00421788">
        <w:rPr>
          <w:rFonts w:asciiTheme="minorHAnsi" w:hAnsiTheme="minorHAnsi" w:cstheme="minorHAnsi"/>
          <w:sz w:val="22"/>
          <w:szCs w:val="22"/>
        </w:rPr>
        <w:t xml:space="preserve"> diagnosed </w:t>
      </w:r>
      <w:r>
        <w:rPr>
          <w:rFonts w:asciiTheme="minorHAnsi" w:hAnsiTheme="minorHAnsi" w:cstheme="minorHAnsi"/>
          <w:sz w:val="22"/>
          <w:szCs w:val="22"/>
        </w:rPr>
        <w:t xml:space="preserve">with DTC </w:t>
      </w:r>
      <w:r w:rsidR="00C32AFD" w:rsidRPr="00421788">
        <w:rPr>
          <w:rFonts w:asciiTheme="minorHAnsi" w:hAnsiTheme="minorHAnsi" w:cstheme="minorHAnsi"/>
          <w:sz w:val="22"/>
          <w:szCs w:val="22"/>
        </w:rPr>
        <w:t xml:space="preserve">at younger </w:t>
      </w:r>
      <w:r w:rsidR="007C3B51">
        <w:rPr>
          <w:rFonts w:asciiTheme="minorHAnsi" w:hAnsiTheme="minorHAnsi" w:cstheme="minorHAnsi"/>
          <w:sz w:val="22"/>
          <w:szCs w:val="22"/>
        </w:rPr>
        <w:t>ages</w:t>
      </w:r>
      <w:r w:rsidR="00C32AFD" w:rsidRPr="00421788">
        <w:rPr>
          <w:rFonts w:asciiTheme="minorHAnsi" w:hAnsiTheme="minorHAnsi" w:cstheme="minorHAnsi"/>
          <w:sz w:val="22"/>
          <w:szCs w:val="22"/>
        </w:rPr>
        <w:t>.</w:t>
      </w:r>
      <w:r w:rsidR="003870DC">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70DC">
        <w:rPr>
          <w:rFonts w:asciiTheme="minorHAnsi" w:hAnsiTheme="minorHAnsi" w:cstheme="minorHAnsi"/>
          <w:sz w:val="22"/>
          <w:szCs w:val="22"/>
        </w:rPr>
      </w:r>
      <w:r w:rsidR="003870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w:t>
      </w:r>
      <w:r w:rsidR="003870DC">
        <w:rPr>
          <w:rFonts w:asciiTheme="minorHAnsi" w:hAnsiTheme="minorHAnsi" w:cstheme="minorHAnsi"/>
          <w:sz w:val="22"/>
          <w:szCs w:val="22"/>
        </w:rPr>
        <w:fldChar w:fldCharType="end"/>
      </w:r>
      <w:r w:rsidR="00C32AFD" w:rsidRPr="00421788">
        <w:rPr>
          <w:rFonts w:asciiTheme="minorHAnsi" w:hAnsiTheme="minorHAnsi" w:cstheme="minorHAnsi"/>
          <w:sz w:val="22"/>
          <w:szCs w:val="22"/>
        </w:rPr>
        <w:t xml:space="preserve"> </w:t>
      </w:r>
      <w:r w:rsidR="00FB505A">
        <w:rPr>
          <w:rFonts w:asciiTheme="minorHAnsi" w:hAnsiTheme="minorHAnsi" w:cstheme="minorHAnsi"/>
          <w:sz w:val="22"/>
          <w:szCs w:val="22"/>
        </w:rPr>
        <w:t xml:space="preserve">Similarly, </w:t>
      </w:r>
      <w:r w:rsidR="002A37D5" w:rsidRPr="00421788">
        <w:rPr>
          <w:rFonts w:asciiTheme="minorHAnsi" w:hAnsiTheme="minorHAnsi" w:cstheme="minorHAnsi"/>
          <w:sz w:val="22"/>
          <w:szCs w:val="22"/>
        </w:rPr>
        <w:t>data from a</w:t>
      </w:r>
      <w:r w:rsidR="00012788">
        <w:rPr>
          <w:rFonts w:asciiTheme="minorHAnsi" w:hAnsiTheme="minorHAnsi" w:cstheme="minorHAnsi"/>
          <w:sz w:val="22"/>
          <w:szCs w:val="22"/>
        </w:rPr>
        <w:t>n</w:t>
      </w:r>
      <w:r w:rsidR="002A37D5" w:rsidRPr="00421788">
        <w:rPr>
          <w:rFonts w:asciiTheme="minorHAnsi" w:hAnsiTheme="minorHAnsi" w:cstheme="minorHAnsi"/>
          <w:sz w:val="22"/>
          <w:szCs w:val="22"/>
        </w:rPr>
        <w:t xml:space="preserve"> </w:t>
      </w:r>
      <w:r w:rsidR="00A465D2">
        <w:rPr>
          <w:rFonts w:asciiTheme="minorHAnsi" w:hAnsiTheme="minorHAnsi" w:cstheme="minorHAnsi"/>
          <w:sz w:val="22"/>
          <w:szCs w:val="22"/>
        </w:rPr>
        <w:t>Isra</w:t>
      </w:r>
      <w:r w:rsidR="00012788">
        <w:rPr>
          <w:rFonts w:asciiTheme="minorHAnsi" w:hAnsiTheme="minorHAnsi" w:cstheme="minorHAnsi"/>
          <w:sz w:val="22"/>
          <w:szCs w:val="22"/>
        </w:rPr>
        <w:t>e</w:t>
      </w:r>
      <w:r w:rsidR="00A465D2">
        <w:rPr>
          <w:rFonts w:asciiTheme="minorHAnsi" w:hAnsiTheme="minorHAnsi" w:cstheme="minorHAnsi"/>
          <w:sz w:val="22"/>
          <w:szCs w:val="22"/>
        </w:rPr>
        <w:t xml:space="preserve">li </w:t>
      </w:r>
      <w:r w:rsidR="002A37D5" w:rsidRPr="00421788">
        <w:rPr>
          <w:rFonts w:asciiTheme="minorHAnsi" w:hAnsiTheme="minorHAnsi" w:cstheme="minorHAnsi"/>
          <w:sz w:val="22"/>
          <w:szCs w:val="22"/>
        </w:rPr>
        <w:t xml:space="preserve">nationwide cohort </w:t>
      </w:r>
      <w:r w:rsidR="007B37D0">
        <w:rPr>
          <w:rFonts w:asciiTheme="minorHAnsi" w:hAnsiTheme="minorHAnsi" w:cstheme="minorHAnsi"/>
          <w:sz w:val="22"/>
          <w:szCs w:val="22"/>
        </w:rPr>
        <w:t>showed</w:t>
      </w:r>
      <w:r w:rsidR="00453999" w:rsidRPr="00421788">
        <w:rPr>
          <w:rFonts w:asciiTheme="minorHAnsi" w:hAnsiTheme="minorHAnsi" w:cstheme="minorHAnsi"/>
          <w:sz w:val="22"/>
          <w:szCs w:val="22"/>
        </w:rPr>
        <w:t xml:space="preserve"> </w:t>
      </w:r>
      <w:r w:rsidR="006E0CA1" w:rsidRPr="00421788">
        <w:rPr>
          <w:rFonts w:asciiTheme="minorHAnsi" w:hAnsiTheme="minorHAnsi" w:cstheme="minorHAnsi"/>
          <w:sz w:val="22"/>
          <w:szCs w:val="22"/>
        </w:rPr>
        <w:t>positive association</w:t>
      </w:r>
      <w:r w:rsidR="007A2E73" w:rsidRPr="00421788">
        <w:rPr>
          <w:rFonts w:asciiTheme="minorHAnsi" w:hAnsiTheme="minorHAnsi" w:cstheme="minorHAnsi"/>
          <w:sz w:val="22"/>
          <w:szCs w:val="22"/>
        </w:rPr>
        <w:t>s</w:t>
      </w:r>
      <w:r w:rsidR="006E0CA1" w:rsidRPr="00421788">
        <w:rPr>
          <w:rFonts w:asciiTheme="minorHAnsi" w:hAnsiTheme="minorHAnsi" w:cstheme="minorHAnsi"/>
          <w:sz w:val="22"/>
          <w:szCs w:val="22"/>
        </w:rPr>
        <w:t xml:space="preserve"> between </w:t>
      </w:r>
      <w:r w:rsidR="00DF5A08">
        <w:rPr>
          <w:rFonts w:asciiTheme="minorHAnsi" w:hAnsiTheme="minorHAnsi" w:cstheme="minorHAnsi"/>
          <w:sz w:val="22"/>
          <w:szCs w:val="22"/>
        </w:rPr>
        <w:t>greater</w:t>
      </w:r>
      <w:r w:rsidR="00DF5A08" w:rsidRPr="00421788">
        <w:rPr>
          <w:rFonts w:asciiTheme="minorHAnsi" w:hAnsiTheme="minorHAnsi" w:cstheme="minorHAnsi"/>
          <w:sz w:val="22"/>
          <w:szCs w:val="22"/>
        </w:rPr>
        <w:t xml:space="preserve"> </w:t>
      </w:r>
      <w:r w:rsidR="003D531C" w:rsidRPr="00421788">
        <w:rPr>
          <w:rFonts w:asciiTheme="minorHAnsi" w:hAnsiTheme="minorHAnsi" w:cstheme="minorHAnsi"/>
          <w:sz w:val="22"/>
          <w:szCs w:val="22"/>
        </w:rPr>
        <w:t>h</w:t>
      </w:r>
      <w:r w:rsidR="007E7331" w:rsidRPr="00421788">
        <w:rPr>
          <w:rFonts w:asciiTheme="minorHAnsi" w:hAnsiTheme="minorHAnsi" w:cstheme="minorHAnsi"/>
          <w:sz w:val="22"/>
          <w:szCs w:val="22"/>
        </w:rPr>
        <w:t>eigh</w:t>
      </w:r>
      <w:r w:rsidR="003D531C" w:rsidRPr="00421788">
        <w:rPr>
          <w:rFonts w:asciiTheme="minorHAnsi" w:hAnsiTheme="minorHAnsi" w:cstheme="minorHAnsi"/>
          <w:sz w:val="22"/>
          <w:szCs w:val="22"/>
        </w:rPr>
        <w:t>t</w:t>
      </w:r>
      <w:r w:rsidR="006D5672">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&lt;EndNote&gt;&lt;Cite&gt;&lt;Author&gt;Farfel&lt;/Author&gt;&lt;Year&gt;2014&lt;/Year&gt;&lt;RecNum&gt;404&lt;/RecNum&gt;&lt;DisplayText&gt;&lt;style face="superscript"&gt;19&lt;/style&gt;&lt;/DisplayText&gt;&lt;record&gt;&lt;rec-number&gt;404&lt;/rec-number&gt;&lt;foreign-keys&gt;&lt;key app="EN" db-id="9eeeap9akwrsete9ft3xp2puxwwrw9ev5fd0" timestamp="1720198800"&gt;404&lt;/key&gt;&lt;/foreign-keys&gt;&lt;ref-type name="Journal Article"&gt;17&lt;/ref-type&gt;&lt;contributors&gt;&lt;authors&gt;&lt;author&gt;Farfel, A.&lt;/author&gt;&lt;author&gt;Kark, J. D.&lt;/author&gt;&lt;author&gt;Derazne, E.&lt;/author&gt;&lt;author&gt;Tzur, D.&lt;/author&gt;&lt;author&gt;Barchana, M.&lt;/author&gt;&lt;author&gt;Lazar, L.&lt;/author&gt;&lt;author&gt;Afek, A.&lt;/author&gt;&lt;author&gt;Shamiss, A.&lt;/author&gt;&lt;/authors&gt;&lt;/contributors&gt;&lt;auth-address&gt;1 Institute for Endocrinology and Diabetes , National Center for Childhood Diabetes, Schneider Children&amp;apos;s Medical Center of Israel, Petach Tikva, Israel .&lt;/auth-address&gt;&lt;titles&gt;&lt;title&gt;Predictors for thyroid carcinoma in Israel: a national cohort of 1,624,310 adolescents followed for up to 40 years&lt;/title&gt;&lt;secondary-title&gt;Thyroid&lt;/secondary-title&gt;&lt;/titles&gt;&lt;periodical&gt;&lt;full-title&gt;Thyroid&lt;/full-title&gt;&lt;abbr-1&gt;Thyroid : official journal of the American Thyroid Association&lt;/abbr-1&gt;&lt;/periodical&gt;&lt;pages&gt;987-93&lt;/pages&gt;&lt;volume&gt;24&lt;/volume&gt;&lt;number&gt;6&lt;/number&gt;&lt;edition&gt;20140317&lt;/edition&gt;&lt;keywords&gt;&lt;keyword&gt;Adolescent&lt;/keyword&gt;&lt;keyword&gt;Adult&lt;/keyword&gt;&lt;keyword&gt;Body Height&lt;/keyword&gt;&lt;keyword&gt;Body Mass Index&lt;/keyword&gt;&lt;keyword&gt;Cohort Studies&lt;/keyword&gt;&lt;keyword&gt;Female&lt;/keyword&gt;&lt;keyword&gt;Follow-Up Studies&lt;/keyword&gt;&lt;keyword&gt;Humans&lt;/keyword&gt;&lt;keyword&gt;Incidence&lt;/keyword&gt;&lt;keyword&gt;Israel/epidemiology&lt;/keyword&gt;&lt;keyword&gt;Male&lt;/keyword&gt;&lt;keyword&gt;Middle Aged&lt;/keyword&gt;&lt;keyword&gt;Risk Factors&lt;/keyword&gt;&lt;keyword&gt;Thyroid Neoplasms/epidemiology/*etiology&lt;/keyword&gt;&lt;/keywords&gt;&lt;dates&gt;&lt;year&gt;2014&lt;/year&gt;&lt;pub-dates&gt;&lt;date&gt;Jun&lt;/date&gt;&lt;/pub-dates&gt;&lt;/dates&gt;&lt;isbn&gt;1050-7256&lt;/isbn&gt;&lt;accession-num&gt;24483833&lt;/accession-num&gt;&lt;urls&gt;&lt;/urls&gt;&lt;electronic-resource-num&gt;10.1089/thy.2013.0173&lt;/electronic-resource-num&gt;&lt;remote-database-provider&gt;NLM&lt;/remote-database-provider&gt;&lt;language&gt;eng&lt;/language&gt;&lt;/record&gt;&lt;/Cite&gt;&lt;/EndNote&gt;</w:instrText>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19</w:t>
      </w:r>
      <w:r w:rsidR="006D5672">
        <w:rPr>
          <w:rFonts w:asciiTheme="minorHAnsi" w:hAnsiTheme="minorHAnsi" w:cstheme="minorHAnsi"/>
          <w:sz w:val="22"/>
          <w:szCs w:val="22"/>
        </w:rPr>
        <w:fldChar w:fldCharType="end"/>
      </w:r>
      <w:r w:rsidR="003D531C" w:rsidRPr="00421788">
        <w:rPr>
          <w:rFonts w:asciiTheme="minorHAnsi" w:hAnsiTheme="minorHAnsi" w:cstheme="minorHAnsi"/>
          <w:sz w:val="22"/>
          <w:szCs w:val="22"/>
        </w:rPr>
        <w:t xml:space="preserve"> and </w:t>
      </w:r>
      <w:r w:rsidR="00277E32" w:rsidRPr="00421788">
        <w:rPr>
          <w:rFonts w:asciiTheme="minorHAnsi" w:hAnsiTheme="minorHAnsi" w:cstheme="minorHAnsi"/>
          <w:sz w:val="22"/>
          <w:szCs w:val="22"/>
        </w:rPr>
        <w:t>BMI</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20</w:t>
      </w:r>
      <w:r w:rsidR="006D5672">
        <w:rPr>
          <w:rFonts w:asciiTheme="minorHAnsi" w:hAnsiTheme="minorHAnsi" w:cstheme="minorHAnsi"/>
          <w:sz w:val="22"/>
          <w:szCs w:val="22"/>
        </w:rPr>
        <w:fldChar w:fldCharType="end"/>
      </w:r>
      <w:r w:rsidR="007E7331" w:rsidRPr="00421788">
        <w:rPr>
          <w:rFonts w:asciiTheme="minorHAnsi" w:hAnsiTheme="minorHAnsi" w:cstheme="minorHAnsi"/>
          <w:sz w:val="22"/>
          <w:szCs w:val="22"/>
        </w:rPr>
        <w:t xml:space="preserve"> </w:t>
      </w:r>
      <w:r w:rsidR="00B96DC2" w:rsidRPr="00421788">
        <w:rPr>
          <w:rFonts w:asciiTheme="minorHAnsi" w:hAnsiTheme="minorHAnsi" w:cstheme="minorHAnsi"/>
          <w:sz w:val="22"/>
          <w:szCs w:val="22"/>
        </w:rPr>
        <w:t xml:space="preserve">measured </w:t>
      </w:r>
      <w:r w:rsidR="007E7331" w:rsidRPr="00421788">
        <w:rPr>
          <w:rFonts w:asciiTheme="minorHAnsi" w:hAnsiTheme="minorHAnsi" w:cstheme="minorHAnsi"/>
          <w:sz w:val="22"/>
          <w:szCs w:val="22"/>
        </w:rPr>
        <w:t>at ages 1</w:t>
      </w:r>
      <w:r w:rsidR="00163268" w:rsidRPr="00421788">
        <w:rPr>
          <w:rFonts w:asciiTheme="minorHAnsi" w:hAnsiTheme="minorHAnsi" w:cstheme="minorHAnsi"/>
          <w:sz w:val="22"/>
          <w:szCs w:val="22"/>
        </w:rPr>
        <w:t>6</w:t>
      </w:r>
      <w:r w:rsidR="007E7331" w:rsidRPr="00421788">
        <w:rPr>
          <w:rFonts w:asciiTheme="minorHAnsi" w:hAnsiTheme="minorHAnsi" w:cstheme="minorHAnsi"/>
          <w:sz w:val="22"/>
          <w:szCs w:val="22"/>
        </w:rPr>
        <w:t>-18</w:t>
      </w:r>
      <w:r w:rsidR="006E0CA1" w:rsidRPr="00421788">
        <w:rPr>
          <w:rFonts w:asciiTheme="minorHAnsi" w:hAnsiTheme="minorHAnsi" w:cstheme="minorHAnsi"/>
          <w:sz w:val="22"/>
          <w:szCs w:val="22"/>
        </w:rPr>
        <w:t xml:space="preserve"> and thyroid cancer incidence</w:t>
      </w:r>
      <w:r w:rsidR="00CC4A3D" w:rsidRPr="00421788">
        <w:rPr>
          <w:rFonts w:asciiTheme="minorHAnsi" w:hAnsiTheme="minorHAnsi" w:cstheme="minorHAnsi"/>
          <w:sz w:val="22"/>
          <w:szCs w:val="22"/>
        </w:rPr>
        <w:t xml:space="preserve"> </w:t>
      </w:r>
      <w:r w:rsidR="004D660C" w:rsidRPr="00421788">
        <w:rPr>
          <w:rFonts w:asciiTheme="minorHAnsi" w:hAnsiTheme="minorHAnsi" w:cstheme="minorHAnsi"/>
          <w:sz w:val="22"/>
          <w:szCs w:val="22"/>
        </w:rPr>
        <w:t xml:space="preserve">after </w:t>
      </w:r>
      <w:r w:rsidR="00A06C52" w:rsidRPr="00421788">
        <w:rPr>
          <w:rFonts w:asciiTheme="minorHAnsi" w:hAnsiTheme="minorHAnsi" w:cstheme="minorHAnsi"/>
          <w:sz w:val="22"/>
          <w:szCs w:val="22"/>
        </w:rPr>
        <w:t xml:space="preserve">mean </w:t>
      </w:r>
      <w:r w:rsidR="004D660C" w:rsidRPr="00421788">
        <w:rPr>
          <w:rFonts w:asciiTheme="minorHAnsi" w:hAnsiTheme="minorHAnsi" w:cstheme="minorHAnsi"/>
          <w:sz w:val="22"/>
          <w:szCs w:val="22"/>
        </w:rPr>
        <w:t>follow-up period</w:t>
      </w:r>
      <w:r w:rsidR="00A465D2">
        <w:rPr>
          <w:rFonts w:asciiTheme="minorHAnsi" w:hAnsiTheme="minorHAnsi" w:cstheme="minorHAnsi"/>
          <w:sz w:val="22"/>
          <w:szCs w:val="22"/>
        </w:rPr>
        <w:t>s</w:t>
      </w:r>
      <w:r w:rsidR="004D660C" w:rsidRPr="00421788">
        <w:rPr>
          <w:rFonts w:asciiTheme="minorHAnsi" w:hAnsiTheme="minorHAnsi" w:cstheme="minorHAnsi"/>
          <w:sz w:val="22"/>
          <w:szCs w:val="22"/>
        </w:rPr>
        <w:t xml:space="preserve"> of</w:t>
      </w:r>
      <w:r w:rsidR="006000F4" w:rsidRPr="00421788">
        <w:rPr>
          <w:rFonts w:asciiTheme="minorHAnsi" w:hAnsiTheme="minorHAnsi" w:cstheme="minorHAnsi"/>
          <w:sz w:val="22"/>
          <w:szCs w:val="22"/>
        </w:rPr>
        <w:t xml:space="preserve"> 10 and</w:t>
      </w:r>
      <w:r w:rsidR="004D660C" w:rsidRPr="00421788">
        <w:rPr>
          <w:rFonts w:asciiTheme="minorHAnsi" w:hAnsiTheme="minorHAnsi" w:cstheme="minorHAnsi"/>
          <w:sz w:val="22"/>
          <w:szCs w:val="22"/>
        </w:rPr>
        <w:t xml:space="preserve"> </w:t>
      </w:r>
      <w:r w:rsidR="00A06C52" w:rsidRPr="00421788">
        <w:rPr>
          <w:rFonts w:asciiTheme="minorHAnsi" w:hAnsiTheme="minorHAnsi" w:cstheme="minorHAnsi"/>
          <w:sz w:val="22"/>
          <w:szCs w:val="22"/>
        </w:rPr>
        <w:t>19</w:t>
      </w:r>
      <w:r w:rsidR="004D660C" w:rsidRPr="00421788">
        <w:rPr>
          <w:rFonts w:asciiTheme="minorHAnsi" w:hAnsiTheme="minorHAnsi" w:cstheme="minorHAnsi"/>
          <w:sz w:val="22"/>
          <w:szCs w:val="22"/>
        </w:rPr>
        <w:t xml:space="preserve"> years</w:t>
      </w:r>
      <w:r w:rsidR="006000F4" w:rsidRPr="00421788">
        <w:rPr>
          <w:rFonts w:asciiTheme="minorHAnsi" w:hAnsiTheme="minorHAnsi" w:cstheme="minorHAnsi"/>
          <w:sz w:val="22"/>
          <w:szCs w:val="22"/>
        </w:rPr>
        <w:t>, respectively</w:t>
      </w:r>
      <w:r w:rsidR="000B075F" w:rsidRPr="00421788">
        <w:rPr>
          <w:rFonts w:asciiTheme="minorHAnsi" w:hAnsiTheme="minorHAnsi" w:cstheme="minorHAnsi"/>
          <w:sz w:val="22"/>
          <w:szCs w:val="22"/>
        </w:rPr>
        <w:t>.</w:t>
      </w:r>
      <w:r w:rsidR="00D715E9">
        <w:rPr>
          <w:rFonts w:asciiTheme="minorHAnsi" w:hAnsiTheme="minorHAnsi" w:cstheme="minorHAnsi"/>
          <w:sz w:val="22"/>
          <w:szCs w:val="22"/>
        </w:rPr>
        <w:t xml:space="preserve"> </w:t>
      </w:r>
      <w:r w:rsidR="008D32CA">
        <w:rPr>
          <w:rFonts w:asciiTheme="minorHAnsi" w:hAnsiTheme="minorHAnsi" w:cstheme="minorHAnsi"/>
          <w:sz w:val="22"/>
          <w:szCs w:val="22"/>
        </w:rPr>
        <w:t>However, t</w:t>
      </w:r>
      <w:r w:rsidR="00176C9A" w:rsidRPr="00176C9A">
        <w:rPr>
          <w:rFonts w:asciiTheme="minorHAnsi" w:hAnsiTheme="minorHAnsi" w:cstheme="minorHAnsi"/>
          <w:sz w:val="22"/>
          <w:szCs w:val="22"/>
        </w:rPr>
        <w:t>hese studies</w:t>
      </w:r>
      <w:r w:rsidR="00F60C14">
        <w:rPr>
          <w:rFonts w:asciiTheme="minorHAnsi" w:hAnsiTheme="minorHAnsi" w:cstheme="minorHAnsi"/>
          <w:sz w:val="22"/>
          <w:szCs w:val="22"/>
        </w:rPr>
        <w:t xml:space="preserve"> </w:t>
      </w:r>
      <w:r w:rsidR="00A465D2">
        <w:rPr>
          <w:rFonts w:asciiTheme="minorHAnsi" w:hAnsiTheme="minorHAnsi" w:cstheme="minorHAnsi"/>
          <w:sz w:val="22"/>
          <w:szCs w:val="22"/>
        </w:rPr>
        <w:t>did not</w:t>
      </w:r>
      <w:r w:rsidR="008D32CA">
        <w:rPr>
          <w:rFonts w:asciiTheme="minorHAnsi" w:hAnsiTheme="minorHAnsi" w:cstheme="minorHAnsi"/>
          <w:sz w:val="22"/>
          <w:szCs w:val="22"/>
        </w:rPr>
        <w:t xml:space="preserve"> </w:t>
      </w:r>
      <w:r w:rsidR="00715CAC">
        <w:rPr>
          <w:rFonts w:asciiTheme="minorHAnsi" w:hAnsiTheme="minorHAnsi" w:cstheme="minorHAnsi"/>
          <w:sz w:val="22"/>
          <w:szCs w:val="22"/>
        </w:rPr>
        <w:t>account</w:t>
      </w:r>
      <w:r w:rsidR="008D32CA">
        <w:rPr>
          <w:rFonts w:asciiTheme="minorHAnsi" w:hAnsiTheme="minorHAnsi" w:cstheme="minorHAnsi"/>
          <w:sz w:val="22"/>
          <w:szCs w:val="22"/>
        </w:rPr>
        <w:t xml:space="preserve"> for</w:t>
      </w:r>
      <w:r w:rsidR="00176C9A" w:rsidRPr="00176C9A">
        <w:rPr>
          <w:rFonts w:asciiTheme="minorHAnsi" w:hAnsiTheme="minorHAnsi" w:cstheme="minorHAnsi"/>
          <w:sz w:val="22"/>
          <w:szCs w:val="22"/>
        </w:rPr>
        <w:t xml:space="preserve"> </w:t>
      </w:r>
      <w:r w:rsidR="001B687E">
        <w:rPr>
          <w:rFonts w:asciiTheme="minorHAnsi" w:hAnsiTheme="minorHAnsi" w:cstheme="minorHAnsi"/>
          <w:sz w:val="22"/>
          <w:szCs w:val="22"/>
        </w:rPr>
        <w:t>adult</w:t>
      </w:r>
      <w:r w:rsidR="00176C9A" w:rsidRPr="00176C9A">
        <w:rPr>
          <w:rFonts w:asciiTheme="minorHAnsi" w:hAnsiTheme="minorHAnsi" w:cstheme="minorHAnsi"/>
          <w:sz w:val="22"/>
          <w:szCs w:val="22"/>
        </w:rPr>
        <w:t xml:space="preserve"> anthropometric factors</w:t>
      </w:r>
      <w:r w:rsidR="0099720E">
        <w:rPr>
          <w:rFonts w:asciiTheme="minorHAnsi" w:hAnsiTheme="minorHAnsi" w:cstheme="minorHAnsi"/>
          <w:sz w:val="22"/>
          <w:szCs w:val="22"/>
        </w:rPr>
        <w:t>,</w:t>
      </w:r>
      <w:r w:rsidR="00632BCD">
        <w:rPr>
          <w:rFonts w:asciiTheme="minorHAnsi" w:hAnsiTheme="minorHAnsi" w:cstheme="minorHAnsi"/>
          <w:sz w:val="22"/>
          <w:szCs w:val="22"/>
        </w:rPr>
        <w:t xml:space="preserve"> which</w:t>
      </w:r>
      <w:r w:rsidR="0099720E">
        <w:rPr>
          <w:rFonts w:asciiTheme="minorHAnsi" w:hAnsiTheme="minorHAnsi" w:cstheme="minorHAnsi"/>
          <w:sz w:val="22"/>
          <w:szCs w:val="22"/>
        </w:rPr>
        <w:t xml:space="preserve"> limit</w:t>
      </w:r>
      <w:r w:rsidR="00632BCD">
        <w:rPr>
          <w:rFonts w:asciiTheme="minorHAnsi" w:hAnsiTheme="minorHAnsi" w:cstheme="minorHAnsi"/>
          <w:sz w:val="22"/>
          <w:szCs w:val="22"/>
        </w:rPr>
        <w:t>s</w:t>
      </w:r>
      <w:r w:rsidR="0099720E">
        <w:rPr>
          <w:rFonts w:asciiTheme="minorHAnsi" w:hAnsiTheme="minorHAnsi" w:cstheme="minorHAnsi"/>
          <w:sz w:val="22"/>
          <w:szCs w:val="22"/>
        </w:rPr>
        <w:t xml:space="preserve"> </w:t>
      </w:r>
      <w:r w:rsidR="00307FC8">
        <w:rPr>
          <w:rFonts w:asciiTheme="minorHAnsi" w:hAnsiTheme="minorHAnsi" w:cstheme="minorHAnsi"/>
          <w:sz w:val="22"/>
          <w:szCs w:val="22"/>
        </w:rPr>
        <w:t>the interpretation</w:t>
      </w:r>
      <w:r w:rsidR="00022419">
        <w:rPr>
          <w:rFonts w:asciiTheme="minorHAnsi" w:hAnsiTheme="minorHAnsi" w:cstheme="minorHAnsi"/>
          <w:sz w:val="22"/>
          <w:szCs w:val="22"/>
        </w:rPr>
        <w:t xml:space="preserve"> of</w:t>
      </w:r>
      <w:r w:rsidR="00D953C9">
        <w:rPr>
          <w:rFonts w:asciiTheme="minorHAnsi" w:hAnsiTheme="minorHAnsi" w:cstheme="minorHAnsi"/>
          <w:sz w:val="22"/>
          <w:szCs w:val="22"/>
        </w:rPr>
        <w:t xml:space="preserve"> </w:t>
      </w:r>
      <w:r w:rsidR="00791ACA">
        <w:rPr>
          <w:rFonts w:asciiTheme="minorHAnsi" w:hAnsiTheme="minorHAnsi" w:cstheme="minorHAnsi"/>
          <w:sz w:val="22"/>
          <w:szCs w:val="22"/>
        </w:rPr>
        <w:t xml:space="preserve">body size </w:t>
      </w:r>
      <w:r w:rsidR="006B4BCE">
        <w:rPr>
          <w:rFonts w:asciiTheme="minorHAnsi" w:hAnsiTheme="minorHAnsi" w:cstheme="minorHAnsi"/>
          <w:sz w:val="22"/>
          <w:szCs w:val="22"/>
        </w:rPr>
        <w:t xml:space="preserve">effects </w:t>
      </w:r>
      <w:r w:rsidR="00791ACA">
        <w:rPr>
          <w:rFonts w:asciiTheme="minorHAnsi" w:hAnsiTheme="minorHAnsi" w:cstheme="minorHAnsi"/>
          <w:sz w:val="22"/>
          <w:szCs w:val="22"/>
        </w:rPr>
        <w:t xml:space="preserve">at different </w:t>
      </w:r>
      <w:r w:rsidR="0050101B">
        <w:rPr>
          <w:rFonts w:asciiTheme="minorHAnsi" w:hAnsiTheme="minorHAnsi" w:cstheme="minorHAnsi"/>
          <w:sz w:val="22"/>
          <w:szCs w:val="22"/>
        </w:rPr>
        <w:t xml:space="preserve">life </w:t>
      </w:r>
      <w:r w:rsidR="006C2A41">
        <w:rPr>
          <w:rFonts w:asciiTheme="minorHAnsi" w:hAnsiTheme="minorHAnsi" w:cstheme="minorHAnsi"/>
          <w:sz w:val="22"/>
          <w:szCs w:val="22"/>
        </w:rPr>
        <w:t>stages</w:t>
      </w:r>
      <w:r w:rsidR="00176C9A" w:rsidRPr="00176C9A">
        <w:rPr>
          <w:rFonts w:asciiTheme="minorHAnsi" w:hAnsiTheme="minorHAnsi" w:cstheme="minorHAnsi"/>
          <w:sz w:val="22"/>
          <w:szCs w:val="22"/>
        </w:rPr>
        <w:t>.</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6D5672">
        <w:rPr>
          <w:rFonts w:asciiTheme="minorHAnsi" w:hAnsiTheme="minorHAnsi" w:cstheme="minorHAnsi"/>
          <w:sz w:val="22"/>
          <w:szCs w:val="22"/>
        </w:rPr>
        <w:fldChar w:fldCharType="end"/>
      </w:r>
      <w:r w:rsidR="00176C9A">
        <w:rPr>
          <w:rFonts w:asciiTheme="minorHAnsi" w:hAnsiTheme="minorHAnsi" w:cstheme="minorHAnsi"/>
          <w:sz w:val="22"/>
          <w:szCs w:val="22"/>
        </w:rPr>
        <w:t xml:space="preserve"> </w:t>
      </w:r>
    </w:p>
    <w:p w14:paraId="4A9A2A9C" w14:textId="2A5B8716" w:rsidR="00257130" w:rsidRDefault="00325D13" w:rsidP="00A35B82">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We</w:t>
      </w:r>
      <w:r w:rsidR="00A10C5A">
        <w:rPr>
          <w:rFonts w:asciiTheme="minorHAnsi" w:hAnsiTheme="minorHAnsi" w:cstheme="minorHAnsi"/>
          <w:sz w:val="22"/>
          <w:szCs w:val="22"/>
        </w:rPr>
        <w:t xml:space="preserve"> observed </w:t>
      </w:r>
      <w:r w:rsidR="00D2475E">
        <w:rPr>
          <w:rFonts w:asciiTheme="minorHAnsi" w:hAnsiTheme="minorHAnsi" w:cstheme="minorHAnsi"/>
          <w:sz w:val="22"/>
          <w:szCs w:val="22"/>
        </w:rPr>
        <w:t xml:space="preserve">consistently </w:t>
      </w:r>
      <w:r w:rsidR="00607ACF">
        <w:rPr>
          <w:rFonts w:asciiTheme="minorHAnsi" w:hAnsiTheme="minorHAnsi" w:cstheme="minorHAnsi"/>
          <w:sz w:val="22"/>
          <w:szCs w:val="22"/>
        </w:rPr>
        <w:t xml:space="preserve">positive </w:t>
      </w:r>
      <w:r w:rsidR="00DA475D">
        <w:rPr>
          <w:rFonts w:asciiTheme="minorHAnsi" w:hAnsiTheme="minorHAnsi" w:cstheme="minorHAnsi"/>
          <w:sz w:val="22"/>
          <w:szCs w:val="22"/>
        </w:rPr>
        <w:t>associations</w:t>
      </w:r>
      <w:r w:rsidR="00D04FC3">
        <w:rPr>
          <w:rFonts w:asciiTheme="minorHAnsi" w:hAnsiTheme="minorHAnsi" w:cstheme="minorHAnsi"/>
          <w:sz w:val="22"/>
          <w:szCs w:val="22"/>
        </w:rPr>
        <w:t xml:space="preserve"> </w:t>
      </w:r>
      <w:r w:rsidR="00607ACF">
        <w:rPr>
          <w:rFonts w:asciiTheme="minorHAnsi" w:hAnsiTheme="minorHAnsi" w:cstheme="minorHAnsi"/>
          <w:sz w:val="22"/>
          <w:szCs w:val="22"/>
        </w:rPr>
        <w:t>for</w:t>
      </w:r>
      <w:r w:rsidR="00881C2B">
        <w:rPr>
          <w:rFonts w:asciiTheme="minorHAnsi" w:hAnsiTheme="minorHAnsi" w:cstheme="minorHAnsi"/>
          <w:sz w:val="22"/>
          <w:szCs w:val="22"/>
        </w:rPr>
        <w:t xml:space="preserve"> being taller and heavier </w:t>
      </w:r>
      <w:r w:rsidR="002C7E29">
        <w:rPr>
          <w:rFonts w:asciiTheme="minorHAnsi" w:hAnsiTheme="minorHAnsi" w:cstheme="minorHAnsi"/>
          <w:sz w:val="22"/>
          <w:szCs w:val="22"/>
        </w:rPr>
        <w:t xml:space="preserve">compared to peers </w:t>
      </w:r>
      <w:r w:rsidR="00881C2B">
        <w:rPr>
          <w:rFonts w:asciiTheme="minorHAnsi" w:hAnsiTheme="minorHAnsi" w:cstheme="minorHAnsi"/>
          <w:sz w:val="22"/>
          <w:szCs w:val="22"/>
        </w:rPr>
        <w:t>during</w:t>
      </w:r>
      <w:r w:rsidR="006C5E4E">
        <w:rPr>
          <w:rFonts w:asciiTheme="minorHAnsi" w:hAnsiTheme="minorHAnsi" w:cstheme="minorHAnsi"/>
          <w:sz w:val="22"/>
          <w:szCs w:val="22"/>
        </w:rPr>
        <w:t xml:space="preserve"> childhood and </w:t>
      </w:r>
      <w:r w:rsidR="0041700C">
        <w:rPr>
          <w:rFonts w:asciiTheme="minorHAnsi" w:hAnsiTheme="minorHAnsi" w:cstheme="minorHAnsi"/>
          <w:sz w:val="22"/>
          <w:szCs w:val="22"/>
        </w:rPr>
        <w:t>adolescen</w:t>
      </w:r>
      <w:r w:rsidR="000839B1">
        <w:rPr>
          <w:rFonts w:asciiTheme="minorHAnsi" w:hAnsiTheme="minorHAnsi" w:cstheme="minorHAnsi"/>
          <w:sz w:val="22"/>
          <w:szCs w:val="22"/>
        </w:rPr>
        <w:t>ce</w:t>
      </w:r>
      <w:r w:rsidR="0041700C">
        <w:rPr>
          <w:rFonts w:asciiTheme="minorHAnsi" w:hAnsiTheme="minorHAnsi" w:cstheme="minorHAnsi"/>
          <w:sz w:val="22"/>
          <w:szCs w:val="22"/>
        </w:rPr>
        <w:t xml:space="preserve"> </w:t>
      </w:r>
      <w:r w:rsidR="00D22354">
        <w:rPr>
          <w:rFonts w:asciiTheme="minorHAnsi" w:hAnsiTheme="minorHAnsi" w:cstheme="minorHAnsi"/>
          <w:sz w:val="22"/>
          <w:szCs w:val="22"/>
        </w:rPr>
        <w:t xml:space="preserve">across </w:t>
      </w:r>
      <w:r w:rsidR="00301CD6">
        <w:rPr>
          <w:rFonts w:asciiTheme="minorHAnsi" w:hAnsiTheme="minorHAnsi" w:cstheme="minorHAnsi"/>
          <w:sz w:val="22"/>
          <w:szCs w:val="22"/>
        </w:rPr>
        <w:t>adult BMI categories</w:t>
      </w:r>
      <w:r>
        <w:rPr>
          <w:rFonts w:asciiTheme="minorHAnsi" w:hAnsiTheme="minorHAnsi" w:cstheme="minorHAnsi"/>
          <w:sz w:val="22"/>
          <w:szCs w:val="22"/>
        </w:rPr>
        <w:t xml:space="preserve">. </w:t>
      </w:r>
      <w:r w:rsidR="00C010FA" w:rsidRPr="00C010FA">
        <w:rPr>
          <w:rFonts w:asciiTheme="minorHAnsi" w:hAnsiTheme="minorHAnsi" w:cstheme="minorHAnsi"/>
          <w:sz w:val="22"/>
          <w:szCs w:val="22"/>
        </w:rPr>
        <w:t xml:space="preserve">These findings suggest that </w:t>
      </w:r>
      <w:r>
        <w:rPr>
          <w:rFonts w:asciiTheme="minorHAnsi" w:hAnsiTheme="minorHAnsi" w:cstheme="minorHAnsi"/>
          <w:sz w:val="22"/>
          <w:szCs w:val="22"/>
        </w:rPr>
        <w:t>having a taller height or higher BMI in early life</w:t>
      </w:r>
      <w:r w:rsidR="00C010FA" w:rsidRPr="00C010FA">
        <w:rPr>
          <w:rFonts w:asciiTheme="minorHAnsi" w:hAnsiTheme="minorHAnsi" w:cstheme="minorHAnsi"/>
          <w:sz w:val="22"/>
          <w:szCs w:val="22"/>
        </w:rPr>
        <w:t xml:space="preserve"> may influence DTC incidence, with potential cumulative effects throughout the life course.</w:t>
      </w:r>
      <w:r w:rsidR="00315783">
        <w:rPr>
          <w:rFonts w:asciiTheme="minorHAnsi" w:hAnsiTheme="minorHAnsi" w:cstheme="minorHAnsi"/>
          <w:sz w:val="22"/>
          <w:szCs w:val="22"/>
        </w:rPr>
        <w:t xml:space="preserve"> </w:t>
      </w:r>
    </w:p>
    <w:p w14:paraId="1241F326" w14:textId="75A5903C" w:rsidR="00012640" w:rsidRPr="00012640" w:rsidRDefault="00EB03A7" w:rsidP="00012640">
      <w:pPr>
        <w:pStyle w:val="NormalWeb"/>
        <w:spacing w:line="360" w:lineRule="auto"/>
        <w:rPr>
          <w:rFonts w:asciiTheme="minorHAnsi" w:hAnsiTheme="minorHAnsi" w:cstheme="minorHAnsi"/>
          <w:sz w:val="22"/>
          <w:szCs w:val="22"/>
        </w:rPr>
      </w:pPr>
      <w:bookmarkStart w:id="4" w:name="_Hlk174975689"/>
      <w:r>
        <w:rPr>
          <w:rFonts w:asciiTheme="minorHAnsi" w:hAnsiTheme="minorHAnsi" w:cstheme="minorHAnsi"/>
          <w:sz w:val="22"/>
          <w:szCs w:val="22"/>
        </w:rPr>
        <w:t>On the other hand</w:t>
      </w:r>
      <w:r w:rsidR="004D09CB">
        <w:rPr>
          <w:rFonts w:asciiTheme="minorHAnsi" w:hAnsiTheme="minorHAnsi" w:cstheme="minorHAnsi"/>
          <w:sz w:val="22"/>
          <w:szCs w:val="22"/>
        </w:rPr>
        <w:t xml:space="preserve">, </w:t>
      </w:r>
      <w:r w:rsidR="00417F44">
        <w:rPr>
          <w:rFonts w:asciiTheme="minorHAnsi" w:hAnsiTheme="minorHAnsi" w:cstheme="minorHAnsi"/>
          <w:sz w:val="22"/>
          <w:szCs w:val="22"/>
        </w:rPr>
        <w:t>our study</w:t>
      </w:r>
      <w:r w:rsidR="00AF5FDD">
        <w:rPr>
          <w:rFonts w:asciiTheme="minorHAnsi" w:hAnsiTheme="minorHAnsi" w:cstheme="minorHAnsi"/>
          <w:sz w:val="22"/>
          <w:szCs w:val="22"/>
        </w:rPr>
        <w:t xml:space="preserve"> also</w:t>
      </w:r>
      <w:r w:rsidR="004D09CB">
        <w:rPr>
          <w:rFonts w:asciiTheme="minorHAnsi" w:hAnsiTheme="minorHAnsi" w:cstheme="minorHAnsi"/>
          <w:sz w:val="22"/>
          <w:szCs w:val="22"/>
        </w:rPr>
        <w:t xml:space="preserve"> </w:t>
      </w:r>
      <w:r w:rsidR="00C416B5">
        <w:rPr>
          <w:rFonts w:asciiTheme="minorHAnsi" w:hAnsiTheme="minorHAnsi" w:cstheme="minorHAnsi"/>
          <w:sz w:val="22"/>
          <w:szCs w:val="22"/>
        </w:rPr>
        <w:t>found</w:t>
      </w:r>
      <w:r w:rsidR="008C37FB" w:rsidRPr="008C37FB">
        <w:rPr>
          <w:rFonts w:asciiTheme="minorHAnsi" w:hAnsiTheme="minorHAnsi" w:cstheme="minorHAnsi"/>
          <w:sz w:val="22"/>
          <w:szCs w:val="22"/>
        </w:rPr>
        <w:t xml:space="preserve"> a higher DTC</w:t>
      </w:r>
      <w:r w:rsidR="00095BA8">
        <w:rPr>
          <w:rFonts w:asciiTheme="minorHAnsi" w:hAnsiTheme="minorHAnsi" w:cstheme="minorHAnsi"/>
          <w:sz w:val="22"/>
          <w:szCs w:val="22"/>
        </w:rPr>
        <w:t xml:space="preserve"> </w:t>
      </w:r>
      <w:r w:rsidR="00DE4772">
        <w:rPr>
          <w:rFonts w:asciiTheme="minorHAnsi" w:hAnsiTheme="minorHAnsi" w:cstheme="minorHAnsi"/>
          <w:sz w:val="22"/>
          <w:szCs w:val="22"/>
        </w:rPr>
        <w:t>incidence</w:t>
      </w:r>
      <w:r w:rsidR="008C37FB" w:rsidRPr="008C37FB">
        <w:rPr>
          <w:rFonts w:asciiTheme="minorHAnsi" w:hAnsiTheme="minorHAnsi" w:cstheme="minorHAnsi"/>
          <w:sz w:val="22"/>
          <w:szCs w:val="22"/>
        </w:rPr>
        <w:t xml:space="preserve"> among women </w:t>
      </w:r>
      <w:r w:rsidR="00417F44">
        <w:rPr>
          <w:rFonts w:asciiTheme="minorHAnsi" w:hAnsiTheme="minorHAnsi" w:cstheme="minorHAnsi"/>
          <w:sz w:val="22"/>
          <w:szCs w:val="22"/>
        </w:rPr>
        <w:t xml:space="preserve">who reported </w:t>
      </w:r>
      <w:r w:rsidR="00217B75">
        <w:rPr>
          <w:rFonts w:asciiTheme="minorHAnsi" w:hAnsiTheme="minorHAnsi" w:cstheme="minorHAnsi"/>
          <w:sz w:val="22"/>
          <w:szCs w:val="22"/>
        </w:rPr>
        <w:t>being</w:t>
      </w:r>
      <w:r w:rsidR="008C37FB" w:rsidRPr="008C37FB">
        <w:rPr>
          <w:rFonts w:asciiTheme="minorHAnsi" w:hAnsiTheme="minorHAnsi" w:cstheme="minorHAnsi"/>
          <w:sz w:val="22"/>
          <w:szCs w:val="22"/>
        </w:rPr>
        <w:t xml:space="preserve"> lighter </w:t>
      </w:r>
      <w:r w:rsidR="001A5656">
        <w:rPr>
          <w:rFonts w:asciiTheme="minorHAnsi" w:hAnsiTheme="minorHAnsi" w:cstheme="minorHAnsi"/>
          <w:sz w:val="22"/>
          <w:szCs w:val="22"/>
        </w:rPr>
        <w:t>than</w:t>
      </w:r>
      <w:r w:rsidR="008C37FB" w:rsidRPr="008C37FB">
        <w:rPr>
          <w:rFonts w:asciiTheme="minorHAnsi" w:hAnsiTheme="minorHAnsi" w:cstheme="minorHAnsi"/>
          <w:sz w:val="22"/>
          <w:szCs w:val="22"/>
        </w:rPr>
        <w:t xml:space="preserve"> peers during childhood and adolescence</w:t>
      </w:r>
      <w:r w:rsidR="007F5BDD">
        <w:rPr>
          <w:rFonts w:asciiTheme="minorHAnsi" w:hAnsiTheme="minorHAnsi" w:cstheme="minorHAnsi"/>
          <w:sz w:val="22"/>
          <w:szCs w:val="22"/>
        </w:rPr>
        <w:t xml:space="preserve"> and those who reported </w:t>
      </w:r>
      <w:r w:rsidR="007F5BDD" w:rsidRPr="00E40727">
        <w:rPr>
          <w:rFonts w:asciiTheme="minorHAnsi" w:hAnsiTheme="minorHAnsi" w:cstheme="minorHAnsi"/>
          <w:sz w:val="22"/>
          <w:szCs w:val="22"/>
        </w:rPr>
        <w:t>not having enough to eat during childhood</w:t>
      </w:r>
      <w:r w:rsidR="00010459">
        <w:rPr>
          <w:rFonts w:asciiTheme="minorHAnsi" w:hAnsiTheme="minorHAnsi" w:cstheme="minorHAnsi"/>
          <w:sz w:val="22"/>
          <w:szCs w:val="22"/>
        </w:rPr>
        <w:t xml:space="preserve">. </w:t>
      </w:r>
      <w:r w:rsidR="00010459" w:rsidRPr="00010459">
        <w:rPr>
          <w:rFonts w:asciiTheme="minorHAnsi" w:hAnsiTheme="minorHAnsi" w:cstheme="minorHAnsi"/>
          <w:sz w:val="22"/>
          <w:szCs w:val="22"/>
        </w:rPr>
        <w:t>Th</w:t>
      </w:r>
      <w:r w:rsidR="00010459">
        <w:rPr>
          <w:rFonts w:asciiTheme="minorHAnsi" w:hAnsiTheme="minorHAnsi" w:cstheme="minorHAnsi"/>
          <w:sz w:val="22"/>
          <w:szCs w:val="22"/>
        </w:rPr>
        <w:t>e</w:t>
      </w:r>
      <w:r w:rsidR="00010459" w:rsidRPr="00010459">
        <w:rPr>
          <w:rFonts w:asciiTheme="minorHAnsi" w:hAnsiTheme="minorHAnsi" w:cstheme="minorHAnsi"/>
          <w:sz w:val="22"/>
          <w:szCs w:val="22"/>
        </w:rPr>
        <w:t>s</w:t>
      </w:r>
      <w:r w:rsidR="00010459">
        <w:rPr>
          <w:rFonts w:asciiTheme="minorHAnsi" w:hAnsiTheme="minorHAnsi" w:cstheme="minorHAnsi"/>
          <w:sz w:val="22"/>
          <w:szCs w:val="22"/>
        </w:rPr>
        <w:t xml:space="preserve">e </w:t>
      </w:r>
      <w:r w:rsidR="009320AC">
        <w:rPr>
          <w:rFonts w:asciiTheme="minorHAnsi" w:hAnsiTheme="minorHAnsi" w:cstheme="minorHAnsi"/>
          <w:sz w:val="22"/>
          <w:szCs w:val="22"/>
        </w:rPr>
        <w:t>observations</w:t>
      </w:r>
      <w:r w:rsidR="00010459" w:rsidRPr="00010459">
        <w:rPr>
          <w:rFonts w:asciiTheme="minorHAnsi" w:hAnsiTheme="minorHAnsi" w:cstheme="minorHAnsi"/>
          <w:sz w:val="22"/>
          <w:szCs w:val="22"/>
        </w:rPr>
        <w:t xml:space="preserve"> suggest </w:t>
      </w:r>
      <w:r w:rsidR="009320AC">
        <w:rPr>
          <w:rFonts w:asciiTheme="minorHAnsi" w:hAnsiTheme="minorHAnsi" w:cstheme="minorHAnsi"/>
          <w:sz w:val="22"/>
          <w:szCs w:val="22"/>
        </w:rPr>
        <w:t xml:space="preserve">the involvement of </w:t>
      </w:r>
      <w:r w:rsidR="00010459" w:rsidRPr="00010459">
        <w:rPr>
          <w:rFonts w:asciiTheme="minorHAnsi" w:hAnsiTheme="minorHAnsi" w:cstheme="minorHAnsi"/>
          <w:sz w:val="22"/>
          <w:szCs w:val="22"/>
        </w:rPr>
        <w:t xml:space="preserve">mechanisms beyond excessive </w:t>
      </w:r>
      <w:r w:rsidR="00010459" w:rsidRPr="00010459">
        <w:rPr>
          <w:rFonts w:asciiTheme="minorHAnsi" w:hAnsiTheme="minorHAnsi" w:cstheme="minorHAnsi"/>
          <w:sz w:val="22"/>
          <w:szCs w:val="22"/>
        </w:rPr>
        <w:lastRenderedPageBreak/>
        <w:t xml:space="preserve">adiposity. </w:t>
      </w:r>
      <w:r w:rsidR="00DD7E76">
        <w:rPr>
          <w:rFonts w:asciiTheme="minorHAnsi" w:hAnsiTheme="minorHAnsi" w:cstheme="minorHAnsi"/>
          <w:sz w:val="22"/>
          <w:szCs w:val="22"/>
        </w:rPr>
        <w:t>B</w:t>
      </w:r>
      <w:r w:rsidR="00326E34">
        <w:rPr>
          <w:rFonts w:asciiTheme="minorHAnsi" w:hAnsiTheme="minorHAnsi" w:cstheme="minorHAnsi"/>
          <w:sz w:val="22"/>
          <w:szCs w:val="22"/>
        </w:rPr>
        <w:t xml:space="preserve">efore </w:t>
      </w:r>
      <w:r w:rsidR="0052564A" w:rsidRPr="0052564A">
        <w:rPr>
          <w:rFonts w:asciiTheme="minorHAnsi" w:hAnsiTheme="minorHAnsi" w:cstheme="minorHAnsi"/>
          <w:sz w:val="22"/>
          <w:szCs w:val="22"/>
        </w:rPr>
        <w:t>the U.S. obesity epidemic began in the late 1970s</w:t>
      </w:r>
      <w:r w:rsidR="00E96131">
        <w:rPr>
          <w:rFonts w:asciiTheme="minorHAnsi" w:hAnsiTheme="minorHAnsi" w:cstheme="minorHAnsi"/>
          <w:sz w:val="22"/>
          <w:szCs w:val="22"/>
        </w:rPr>
        <w:t>,</w:t>
      </w:r>
      <w:r w:rsidR="003347E2">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&lt;EndNote&gt;&lt;Cite&gt;&lt;Author&gt;Fryar&lt;/Author&gt;&lt;Year&gt;2012&lt;/Year&gt;&lt;RecNum&gt;424&lt;/RecNum&gt;&lt;DisplayText&gt;&lt;style face="superscript"&gt;35&lt;/style&gt;&lt;/DisplayText&gt;&lt;record&gt;&lt;rec-number&gt;424&lt;/rec-number&gt;&lt;foreign-keys&gt;&lt;key app="EN" db-id="9eeeap9akwrsete9ft3xp2puxwwrw9ev5fd0" timestamp="1723069295"&gt;424&lt;/key&gt;&lt;/foreign-keys&gt;&lt;ref-type name="Journal Article"&gt;17&lt;/ref-type&gt;&lt;contributors&gt;&lt;authors&gt;&lt;author&gt;Fryar, Cheryl D&lt;/author&gt;&lt;author&gt;Carroll, Margaret D&lt;/author&gt;&lt;author&gt;Ogden, Cynthia L&lt;/author&gt;&lt;/authors&gt;&lt;/contributors&gt;&lt;titles&gt;&lt;title&gt;Prevalence of overweight, obesity, and extreme obesity among adults: United States, trends 1960–1962 through 2009–2010&lt;/title&gt;&lt;secondary-title&gt;Hyattsville, MD: National Center for Health Statistics&lt;/secondary-title&gt;&lt;/titles&gt;&lt;periodical&gt;&lt;full-title&gt;Hyattsville, MD: National Center for Health Statistics&lt;/full-title&gt;&lt;/periodical&gt;&lt;dates&gt;&lt;year&gt;2012&lt;/year&gt;&lt;/dates&gt;&lt;urls&gt;&lt;/urls&gt;&lt;/record&gt;&lt;/Cite&gt;&lt;/EndNote&gt;</w:instrText>
      </w:r>
      <w:r w:rsidR="003347E2">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35</w:t>
      </w:r>
      <w:r w:rsidR="003347E2">
        <w:rPr>
          <w:rFonts w:asciiTheme="minorHAnsi" w:hAnsiTheme="minorHAnsi" w:cstheme="minorHAnsi"/>
          <w:sz w:val="22"/>
          <w:szCs w:val="22"/>
        </w:rPr>
        <w:fldChar w:fldCharType="end"/>
      </w:r>
      <w:r w:rsidR="00326E34" w:rsidRPr="00326E34">
        <w:rPr>
          <w:rFonts w:asciiTheme="minorHAnsi" w:hAnsiTheme="minorHAnsi" w:cstheme="minorHAnsi"/>
          <w:sz w:val="22"/>
          <w:szCs w:val="22"/>
        </w:rPr>
        <w:t xml:space="preserve"> </w:t>
      </w:r>
      <w:r w:rsidR="0036113A">
        <w:rPr>
          <w:rFonts w:asciiTheme="minorHAnsi" w:hAnsiTheme="minorHAnsi" w:cstheme="minorHAnsi"/>
          <w:sz w:val="22"/>
          <w:szCs w:val="22"/>
        </w:rPr>
        <w:t>being lighter</w:t>
      </w:r>
      <w:r w:rsidR="0036113A" w:rsidRPr="00936EE9">
        <w:rPr>
          <w:rFonts w:asciiTheme="minorHAnsi" w:hAnsiTheme="minorHAnsi" w:cstheme="minorHAnsi"/>
          <w:sz w:val="22"/>
          <w:szCs w:val="22"/>
        </w:rPr>
        <w:t xml:space="preserve"> </w:t>
      </w:r>
      <w:r w:rsidR="0036113A">
        <w:rPr>
          <w:rFonts w:asciiTheme="minorHAnsi" w:hAnsiTheme="minorHAnsi" w:cstheme="minorHAnsi"/>
          <w:sz w:val="22"/>
          <w:szCs w:val="22"/>
        </w:rPr>
        <w:t xml:space="preserve">than peers </w:t>
      </w:r>
      <w:r w:rsidR="0036113A" w:rsidRPr="00936EE9">
        <w:rPr>
          <w:rFonts w:asciiTheme="minorHAnsi" w:hAnsiTheme="minorHAnsi" w:cstheme="minorHAnsi"/>
          <w:sz w:val="22"/>
          <w:szCs w:val="22"/>
        </w:rPr>
        <w:t xml:space="preserve">and </w:t>
      </w:r>
      <w:r w:rsidR="0036113A" w:rsidRPr="00E40727">
        <w:rPr>
          <w:rFonts w:asciiTheme="minorHAnsi" w:hAnsiTheme="minorHAnsi" w:cstheme="minorHAnsi"/>
          <w:sz w:val="22"/>
          <w:szCs w:val="22"/>
        </w:rPr>
        <w:t xml:space="preserve">not having enough to eat </w:t>
      </w:r>
      <w:r w:rsidR="00D513D6">
        <w:rPr>
          <w:rFonts w:asciiTheme="minorHAnsi" w:hAnsiTheme="minorHAnsi" w:cstheme="minorHAnsi"/>
          <w:sz w:val="22"/>
          <w:szCs w:val="22"/>
        </w:rPr>
        <w:t>in</w:t>
      </w:r>
      <w:r w:rsidR="0036113A" w:rsidRPr="009E68C2">
        <w:rPr>
          <w:rFonts w:asciiTheme="minorHAnsi" w:hAnsiTheme="minorHAnsi" w:cstheme="minorHAnsi"/>
          <w:sz w:val="22"/>
          <w:szCs w:val="22"/>
        </w:rPr>
        <w:t xml:space="preserve"> early life</w:t>
      </w:r>
      <w:r w:rsidR="0036113A">
        <w:rPr>
          <w:rFonts w:asciiTheme="minorHAnsi" w:hAnsiTheme="minorHAnsi" w:cstheme="minorHAnsi"/>
          <w:sz w:val="22"/>
          <w:szCs w:val="22"/>
        </w:rPr>
        <w:t xml:space="preserve"> could </w:t>
      </w:r>
      <w:r w:rsidR="00020562">
        <w:rPr>
          <w:rFonts w:asciiTheme="minorHAnsi" w:hAnsiTheme="minorHAnsi" w:cstheme="minorHAnsi"/>
          <w:sz w:val="22"/>
          <w:szCs w:val="22"/>
        </w:rPr>
        <w:t>have indicated</w:t>
      </w:r>
      <w:r w:rsidR="0036113A" w:rsidRPr="00A200EE">
        <w:rPr>
          <w:rFonts w:asciiTheme="minorHAnsi" w:hAnsiTheme="minorHAnsi" w:cstheme="minorHAnsi"/>
          <w:sz w:val="22"/>
          <w:szCs w:val="22"/>
        </w:rPr>
        <w:t xml:space="preserve"> lower socioeconomic status,</w:t>
      </w:r>
      <w:r w:rsidR="00F545C7">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TnVtPjQyMzwvUmVjTnVtPjxEaXNwbGF5VGV4dD48c3R5bGUgZmFjZT0ic3VwZXJzY3JpcHQiPjM2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TnVtPjQyMzwvUmVjTnVtPjxEaXNwbGF5VGV4dD48c3R5bGUgZmFjZT0ic3VwZXJzY3JpcHQiPjM2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F545C7">
        <w:rPr>
          <w:rFonts w:asciiTheme="minorHAnsi" w:hAnsiTheme="minorHAnsi" w:cstheme="minorHAnsi"/>
          <w:sz w:val="22"/>
          <w:szCs w:val="22"/>
        </w:rPr>
      </w:r>
      <w:r w:rsidR="00F545C7">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36</w:t>
      </w:r>
      <w:r w:rsidR="00F545C7">
        <w:rPr>
          <w:rFonts w:asciiTheme="minorHAnsi" w:hAnsiTheme="minorHAnsi" w:cstheme="minorHAnsi"/>
          <w:sz w:val="22"/>
          <w:szCs w:val="22"/>
        </w:rPr>
        <w:fldChar w:fldCharType="end"/>
      </w:r>
      <w:r w:rsidR="0036113A" w:rsidRPr="00A200EE">
        <w:rPr>
          <w:rFonts w:asciiTheme="minorHAnsi" w:hAnsiTheme="minorHAnsi" w:cstheme="minorHAnsi"/>
          <w:sz w:val="22"/>
          <w:szCs w:val="22"/>
        </w:rPr>
        <w:t xml:space="preserve"> </w:t>
      </w:r>
      <w:r w:rsidR="00325D13">
        <w:rPr>
          <w:rFonts w:asciiTheme="minorHAnsi" w:hAnsiTheme="minorHAnsi" w:cstheme="minorHAnsi"/>
          <w:sz w:val="22"/>
          <w:szCs w:val="22"/>
        </w:rPr>
        <w:t>with potential links to other</w:t>
      </w:r>
      <w:r w:rsidR="0036113A" w:rsidRPr="00A200EE">
        <w:rPr>
          <w:rFonts w:asciiTheme="minorHAnsi" w:hAnsiTheme="minorHAnsi" w:cstheme="minorHAnsi"/>
          <w:sz w:val="22"/>
          <w:szCs w:val="22"/>
        </w:rPr>
        <w:t xml:space="preserve"> environmental and lifestyle risk factors for cancer.</w:t>
      </w:r>
      <w:r w:rsidR="00EF684F">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&lt;EndNote&gt;&lt;Cite&gt;&lt;Author&gt;Denny&lt;/Author&gt;&lt;Year&gt;2021&lt;/Year&gt;&lt;RecNum&gt;422&lt;/RecNum&gt;&lt;DisplayText&gt;&lt;style face="superscript"&gt;27&lt;/style&gt;&lt;/DisplayText&gt;&lt;record&gt;&lt;rec-number&gt;422&lt;/rec-number&gt;&lt;foreign-keys&gt;&lt;key app="EN" db-id="9eeeap9akwrsete9ft3xp2puxwwrw9ev5fd0" timestamp="1723051478"&gt;422&lt;/key&gt;&lt;/foreign-keys&gt;&lt;ref-type name="Journal Article"&gt;17&lt;/ref-type&gt;&lt;contributors&gt;&lt;authors&gt;&lt;author&gt;Denny, Lynette&lt;/author&gt;&lt;author&gt;Jemal, Ahmedin&lt;/author&gt;&lt;author&gt;Schubauer-Berigan, Mary&lt;/author&gt;&lt;author&gt;Islami, Farhad&lt;/author&gt;&lt;author&gt;Vilahur, Nadia&lt;/author&gt;&lt;author&gt;Fidler, Miranda&lt;/author&gt;&lt;author&gt;Sarfati, Diana&lt;/author&gt;&lt;author&gt;Soerjomataram, Isabelle&lt;/author&gt;&lt;author&gt;de Martel, Catherine&lt;/author&gt;&lt;author&gt;Vaccarella, Salvatore&lt;/author&gt;&lt;/authors&gt;&lt;/contributors&gt;&lt;titles&gt;&lt;title&gt;Social inequalities in cancer risk factors and health-care access&lt;/title&gt;&lt;/titles&gt;&lt;dates&gt;&lt;year&gt;2021&lt;/year&gt;&lt;/dates&gt;&lt;urls&gt;&lt;/urls&gt;&lt;/record&gt;&lt;/Cite&gt;&lt;/EndNote&gt;</w:instrText>
      </w:r>
      <w:r w:rsidR="00EF684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27</w:t>
      </w:r>
      <w:r w:rsidR="00EF684F">
        <w:rPr>
          <w:rFonts w:asciiTheme="minorHAnsi" w:hAnsiTheme="minorHAnsi" w:cstheme="minorHAnsi"/>
          <w:sz w:val="22"/>
          <w:szCs w:val="22"/>
        </w:rPr>
        <w:fldChar w:fldCharType="end"/>
      </w:r>
      <w:r w:rsidR="0036113A">
        <w:rPr>
          <w:rFonts w:asciiTheme="minorHAnsi" w:hAnsiTheme="minorHAnsi" w:cstheme="minorHAnsi"/>
          <w:sz w:val="22"/>
          <w:szCs w:val="22"/>
        </w:rPr>
        <w:t xml:space="preserve"> However, </w:t>
      </w:r>
      <w:r w:rsidR="00B81EBA">
        <w:rPr>
          <w:rFonts w:asciiTheme="minorHAnsi" w:hAnsiTheme="minorHAnsi" w:cstheme="minorHAnsi"/>
          <w:sz w:val="22"/>
          <w:szCs w:val="22"/>
        </w:rPr>
        <w:t xml:space="preserve">in our study, </w:t>
      </w:r>
      <w:r w:rsidR="0036113A">
        <w:rPr>
          <w:rFonts w:asciiTheme="minorHAnsi" w:hAnsiTheme="minorHAnsi" w:cstheme="minorHAnsi"/>
          <w:sz w:val="22"/>
          <w:szCs w:val="22"/>
        </w:rPr>
        <w:t xml:space="preserve">these associations either </w:t>
      </w:r>
      <w:r w:rsidR="00F73257">
        <w:rPr>
          <w:rFonts w:asciiTheme="minorHAnsi" w:hAnsiTheme="minorHAnsi" w:cstheme="minorHAnsi"/>
          <w:sz w:val="22"/>
          <w:szCs w:val="22"/>
        </w:rPr>
        <w:t xml:space="preserve">persisted </w:t>
      </w:r>
      <w:r w:rsidR="0036113A">
        <w:rPr>
          <w:rFonts w:asciiTheme="minorHAnsi" w:hAnsiTheme="minorHAnsi" w:cstheme="minorHAnsi"/>
          <w:sz w:val="22"/>
          <w:szCs w:val="22"/>
        </w:rPr>
        <w:t>or were more pronounced after adjust</w:t>
      </w:r>
      <w:r w:rsidR="00F73257">
        <w:rPr>
          <w:rFonts w:asciiTheme="minorHAnsi" w:hAnsiTheme="minorHAnsi" w:cstheme="minorHAnsi"/>
          <w:sz w:val="22"/>
          <w:szCs w:val="22"/>
        </w:rPr>
        <w:t>ing</w:t>
      </w:r>
      <w:r w:rsidR="0036113A">
        <w:rPr>
          <w:rFonts w:asciiTheme="minorHAnsi" w:hAnsiTheme="minorHAnsi" w:cstheme="minorHAnsi"/>
          <w:sz w:val="22"/>
          <w:szCs w:val="22"/>
        </w:rPr>
        <w:t xml:space="preserve"> for </w:t>
      </w:r>
      <w:r w:rsidR="003769CC">
        <w:rPr>
          <w:rFonts w:asciiTheme="minorHAnsi" w:hAnsiTheme="minorHAnsi" w:cstheme="minorHAnsi"/>
          <w:sz w:val="22"/>
          <w:szCs w:val="22"/>
        </w:rPr>
        <w:t>both</w:t>
      </w:r>
      <w:r w:rsidR="0036113A">
        <w:rPr>
          <w:rFonts w:asciiTheme="minorHAnsi" w:hAnsiTheme="minorHAnsi" w:cstheme="minorHAnsi"/>
          <w:sz w:val="22"/>
          <w:szCs w:val="22"/>
        </w:rPr>
        <w:t xml:space="preserve"> childhood and adult socioeconomic factors, suggesting that socioeconomic status may not be the </w:t>
      </w:r>
      <w:r w:rsidR="003769CC">
        <w:rPr>
          <w:rFonts w:asciiTheme="minorHAnsi" w:hAnsiTheme="minorHAnsi" w:cstheme="minorHAnsi"/>
          <w:sz w:val="22"/>
          <w:szCs w:val="22"/>
        </w:rPr>
        <w:t>primary</w:t>
      </w:r>
      <w:r w:rsidR="0036113A">
        <w:rPr>
          <w:rFonts w:asciiTheme="minorHAnsi" w:hAnsiTheme="minorHAnsi" w:cstheme="minorHAnsi"/>
          <w:sz w:val="22"/>
          <w:szCs w:val="22"/>
        </w:rPr>
        <w:t xml:space="preserve"> </w:t>
      </w:r>
      <w:r w:rsidR="0036113A" w:rsidRPr="00047EF9">
        <w:rPr>
          <w:rFonts w:asciiTheme="minorHAnsi" w:hAnsiTheme="minorHAnsi" w:cstheme="minorHAnsi"/>
          <w:sz w:val="22"/>
          <w:szCs w:val="22"/>
        </w:rPr>
        <w:t>driver.</w:t>
      </w:r>
      <w:r w:rsidR="002A4229" w:rsidRPr="00047EF9">
        <w:rPr>
          <w:rFonts w:asciiTheme="minorHAnsi" w:hAnsiTheme="minorHAnsi" w:cstheme="minorHAnsi"/>
          <w:sz w:val="22"/>
          <w:szCs w:val="22"/>
        </w:rPr>
        <w:t xml:space="preserve"> </w:t>
      </w:r>
      <w:r w:rsidR="00991D17" w:rsidRPr="00047EF9">
        <w:rPr>
          <w:rFonts w:asciiTheme="minorHAnsi" w:hAnsiTheme="minorHAnsi" w:cstheme="minorHAnsi"/>
          <w:sz w:val="22"/>
          <w:szCs w:val="22"/>
        </w:rPr>
        <w:t xml:space="preserve">Another </w:t>
      </w:r>
      <w:r w:rsidR="003769CC" w:rsidRPr="00047EF9">
        <w:rPr>
          <w:rFonts w:asciiTheme="minorHAnsi" w:hAnsiTheme="minorHAnsi" w:cstheme="minorHAnsi"/>
          <w:sz w:val="22"/>
          <w:szCs w:val="22"/>
        </w:rPr>
        <w:t xml:space="preserve">plausible </w:t>
      </w:r>
      <w:r w:rsidR="00991D17" w:rsidRPr="00047EF9">
        <w:rPr>
          <w:rFonts w:asciiTheme="minorHAnsi" w:hAnsiTheme="minorHAnsi" w:cstheme="minorHAnsi"/>
          <w:sz w:val="22"/>
          <w:szCs w:val="22"/>
        </w:rPr>
        <w:t xml:space="preserve">explanation </w:t>
      </w:r>
      <w:r w:rsidR="00634945" w:rsidRPr="00047EF9">
        <w:rPr>
          <w:rFonts w:asciiTheme="minorHAnsi" w:hAnsiTheme="minorHAnsi" w:cstheme="minorHAnsi"/>
          <w:sz w:val="22"/>
          <w:szCs w:val="22"/>
        </w:rPr>
        <w:t>involve</w:t>
      </w:r>
      <w:r w:rsidR="006D7FBC">
        <w:rPr>
          <w:rFonts w:asciiTheme="minorHAnsi" w:hAnsiTheme="minorHAnsi" w:cstheme="minorHAnsi"/>
          <w:sz w:val="22"/>
          <w:szCs w:val="22"/>
        </w:rPr>
        <w:t>s</w:t>
      </w:r>
      <w:r w:rsidR="004A0547" w:rsidRPr="00047EF9">
        <w:rPr>
          <w:rFonts w:asciiTheme="minorHAnsi" w:hAnsiTheme="minorHAnsi" w:cstheme="minorHAnsi"/>
          <w:sz w:val="22"/>
          <w:szCs w:val="22"/>
        </w:rPr>
        <w:t xml:space="preserve"> </w:t>
      </w:r>
      <w:r w:rsidR="006A6F98" w:rsidRPr="00047EF9">
        <w:rPr>
          <w:rFonts w:asciiTheme="minorHAnsi" w:hAnsiTheme="minorHAnsi" w:cstheme="minorHAnsi"/>
          <w:sz w:val="22"/>
          <w:szCs w:val="22"/>
        </w:rPr>
        <w:t>suboptimal nutritional exposures</w:t>
      </w:r>
      <w:r w:rsidR="00500B16" w:rsidRPr="00E67983">
        <w:rPr>
          <w:rFonts w:asciiTheme="minorHAnsi" w:hAnsiTheme="minorHAnsi" w:cstheme="minorHAnsi"/>
          <w:sz w:val="22"/>
          <w:szCs w:val="22"/>
        </w:rPr>
        <w:t xml:space="preserve"> in early life</w:t>
      </w:r>
      <w:r w:rsidR="00634945" w:rsidRPr="00047EF9">
        <w:rPr>
          <w:rFonts w:asciiTheme="minorHAnsi" w:hAnsiTheme="minorHAnsi" w:cstheme="minorHAnsi"/>
          <w:sz w:val="22"/>
          <w:szCs w:val="22"/>
        </w:rPr>
        <w:t xml:space="preserve">, </w:t>
      </w:r>
      <w:r w:rsidR="00D255D4" w:rsidRPr="00E67983">
        <w:rPr>
          <w:rFonts w:asciiTheme="minorHAnsi" w:hAnsiTheme="minorHAnsi" w:cstheme="minorHAnsi"/>
          <w:sz w:val="22"/>
          <w:szCs w:val="22"/>
        </w:rPr>
        <w:t>including</w:t>
      </w:r>
      <w:r w:rsidR="007E564D"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nutritional deficiencies</w:t>
      </w:r>
      <w:r w:rsidR="00620E8A"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and physiological adaptive responses</w:t>
      </w:r>
      <w:r w:rsidR="00545A73" w:rsidRPr="00047EF9">
        <w:rPr>
          <w:rFonts w:asciiTheme="minorHAnsi" w:hAnsiTheme="minorHAnsi" w:cstheme="minorHAnsi"/>
          <w:sz w:val="22"/>
          <w:szCs w:val="22"/>
        </w:rPr>
        <w:t xml:space="preserve">. </w:t>
      </w:r>
      <w:r w:rsidR="006D7FBC">
        <w:rPr>
          <w:rFonts w:asciiTheme="minorHAnsi" w:hAnsiTheme="minorHAnsi" w:cstheme="minorHAnsi"/>
          <w:sz w:val="22"/>
          <w:szCs w:val="22"/>
        </w:rPr>
        <w:t>Currently</w:t>
      </w:r>
      <w:r w:rsidR="00047EF9" w:rsidRPr="00F3449C">
        <w:rPr>
          <w:rFonts w:asciiTheme="minorHAnsi" w:hAnsiTheme="minorHAnsi" w:cstheme="minorHAnsi"/>
          <w:sz w:val="22"/>
          <w:szCs w:val="22"/>
        </w:rPr>
        <w:t>, t</w:t>
      </w:r>
      <w:r w:rsidR="00047EF9" w:rsidRPr="00E67983">
        <w:rPr>
          <w:rFonts w:asciiTheme="minorHAnsi" w:hAnsiTheme="minorHAnsi" w:cstheme="minorHAnsi"/>
          <w:sz w:val="22"/>
          <w:szCs w:val="22"/>
        </w:rPr>
        <w:t xml:space="preserve">here </w:t>
      </w:r>
      <w:r w:rsidR="00325D13">
        <w:rPr>
          <w:rFonts w:asciiTheme="minorHAnsi" w:hAnsiTheme="minorHAnsi" w:cstheme="minorHAnsi"/>
          <w:sz w:val="22"/>
          <w:szCs w:val="22"/>
        </w:rPr>
        <w:t>are</w:t>
      </w:r>
      <w:r w:rsidR="00325D13" w:rsidRPr="00E67983">
        <w:rPr>
          <w:rFonts w:asciiTheme="minorHAnsi" w:hAnsiTheme="minorHAnsi" w:cstheme="minorHAnsi"/>
          <w:sz w:val="22"/>
          <w:szCs w:val="22"/>
        </w:rPr>
        <w:t xml:space="preserve"> </w:t>
      </w:r>
      <w:r w:rsidR="00047EF9" w:rsidRPr="00E67983">
        <w:rPr>
          <w:rFonts w:asciiTheme="minorHAnsi" w:hAnsiTheme="minorHAnsi" w:cstheme="minorHAnsi"/>
          <w:sz w:val="22"/>
          <w:szCs w:val="22"/>
        </w:rPr>
        <w:t>limited epidemiological data on</w:t>
      </w:r>
      <w:r w:rsidR="007C6FF1" w:rsidRPr="00E67983">
        <w:rPr>
          <w:rFonts w:asciiTheme="minorHAnsi" w:hAnsiTheme="minorHAnsi" w:cstheme="minorHAnsi"/>
          <w:sz w:val="22"/>
          <w:szCs w:val="22"/>
        </w:rPr>
        <w:t xml:space="preserve"> thyroid cancer incidence and</w:t>
      </w:r>
      <w:r w:rsidR="00047EF9" w:rsidRPr="00E67983">
        <w:rPr>
          <w:rFonts w:asciiTheme="minorHAnsi" w:hAnsiTheme="minorHAnsi" w:cstheme="minorHAnsi"/>
          <w:sz w:val="22"/>
          <w:szCs w:val="22"/>
        </w:rPr>
        <w:t xml:space="preserve"> </w:t>
      </w:r>
      <w:r w:rsidR="00A67824">
        <w:rPr>
          <w:rFonts w:asciiTheme="minorHAnsi" w:hAnsiTheme="minorHAnsi" w:cstheme="minorHAnsi"/>
          <w:sz w:val="22"/>
          <w:szCs w:val="22"/>
        </w:rPr>
        <w:t xml:space="preserve">early-life </w:t>
      </w:r>
      <w:r w:rsidR="00F3449C" w:rsidRPr="00F3449C">
        <w:rPr>
          <w:rFonts w:asciiTheme="minorHAnsi" w:hAnsiTheme="minorHAnsi" w:cstheme="minorHAnsi"/>
          <w:sz w:val="22"/>
          <w:szCs w:val="22"/>
        </w:rPr>
        <w:t xml:space="preserve">nutritional </w:t>
      </w:r>
      <w:r w:rsidR="00451570" w:rsidRPr="00E67983">
        <w:rPr>
          <w:rFonts w:asciiTheme="minorHAnsi" w:hAnsiTheme="minorHAnsi" w:cstheme="minorHAnsi"/>
          <w:sz w:val="22"/>
          <w:szCs w:val="22"/>
        </w:rPr>
        <w:t>deficiencies</w:t>
      </w:r>
      <w:r w:rsidR="00012640">
        <w:rPr>
          <w:rFonts w:asciiTheme="minorHAnsi" w:hAnsiTheme="minorHAnsi" w:cstheme="minorHAnsi"/>
          <w:sz w:val="22"/>
          <w:szCs w:val="22"/>
        </w:rPr>
        <w:t>, as m</w:t>
      </w:r>
      <w:r w:rsidR="00012640" w:rsidRPr="00A70AC9">
        <w:rPr>
          <w:rFonts w:asciiTheme="minorHAnsi" w:hAnsiTheme="minorHAnsi" w:cstheme="minorHAnsi"/>
          <w:sz w:val="22"/>
          <w:szCs w:val="22"/>
        </w:rPr>
        <w:t xml:space="preserve">ost studies </w:t>
      </w:r>
      <w:r w:rsidR="00012640">
        <w:rPr>
          <w:rFonts w:asciiTheme="minorHAnsi" w:hAnsiTheme="minorHAnsi" w:cstheme="minorHAnsi"/>
          <w:sz w:val="22"/>
          <w:szCs w:val="22"/>
        </w:rPr>
        <w:t>have focused</w:t>
      </w:r>
      <w:r w:rsidR="00012640" w:rsidRPr="00A70AC9">
        <w:rPr>
          <w:rFonts w:asciiTheme="minorHAnsi" w:hAnsiTheme="minorHAnsi" w:cstheme="minorHAnsi"/>
          <w:sz w:val="22"/>
          <w:szCs w:val="22"/>
        </w:rPr>
        <w:t xml:space="preserve"> on adult dietary intake</w:t>
      </w:r>
      <w:r w:rsidR="00012640">
        <w:rPr>
          <w:rFonts w:asciiTheme="minorHAnsi" w:hAnsiTheme="minorHAnsi" w:cstheme="minorHAnsi"/>
          <w:sz w:val="22"/>
          <w:szCs w:val="22"/>
        </w:rPr>
        <w:t>, yielding mixed findings</w:t>
      </w:r>
      <w:r w:rsidR="00012640" w:rsidRPr="00A70AC9">
        <w:rPr>
          <w:rFonts w:asciiTheme="minorHAnsi" w:hAnsiTheme="minorHAnsi" w:cstheme="minorHAnsi"/>
          <w:sz w:val="22"/>
          <w:szCs w:val="22"/>
        </w:rPr>
        <w:t xml:space="preserve"> regarding </w:t>
      </w:r>
      <w:r w:rsidR="00012640">
        <w:rPr>
          <w:rFonts w:asciiTheme="minorHAnsi" w:hAnsiTheme="minorHAnsi" w:cstheme="minorHAnsi"/>
          <w:sz w:val="22"/>
          <w:szCs w:val="22"/>
        </w:rPr>
        <w:t xml:space="preserve">the </w:t>
      </w:r>
      <w:r w:rsidR="00012640" w:rsidRPr="00A70AC9">
        <w:rPr>
          <w:rFonts w:asciiTheme="minorHAnsi" w:hAnsiTheme="minorHAnsi" w:cstheme="minorHAnsi"/>
          <w:sz w:val="22"/>
          <w:szCs w:val="22"/>
        </w:rPr>
        <w:t xml:space="preserve">intake of </w:t>
      </w:r>
      <w:r w:rsidR="00012640">
        <w:rPr>
          <w:rFonts w:asciiTheme="minorHAnsi" w:hAnsiTheme="minorHAnsi" w:cstheme="minorHAnsi"/>
          <w:sz w:val="22"/>
          <w:szCs w:val="22"/>
        </w:rPr>
        <w:t xml:space="preserve">certain </w:t>
      </w:r>
      <w:r w:rsidR="00012640" w:rsidRPr="00A70AC9">
        <w:rPr>
          <w:rFonts w:asciiTheme="minorHAnsi" w:hAnsiTheme="minorHAnsi" w:cstheme="minorHAnsi"/>
          <w:sz w:val="22"/>
          <w:szCs w:val="22"/>
        </w:rPr>
        <w:t>macro- (e.g., polyunsaturated fat, sugar) and micronutrients (e.g., iodine, and selenium)</w:t>
      </w:r>
      <w:r w:rsidR="00012640">
        <w:rPr>
          <w:rFonts w:asciiTheme="minorHAnsi" w:hAnsiTheme="minorHAnsi" w:cstheme="minorHAnsi"/>
          <w:sz w:val="22"/>
          <w:szCs w:val="22"/>
        </w:rPr>
        <w:t>.</w:t>
      </w:r>
      <w:r w:rsidR="007C6FF1" w:rsidRPr="00E67983">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&lt;EndNote&gt;&lt;Cite&gt;&lt;Author&gt;Kitahara&lt;/Author&gt;&lt;Year&gt;2017&lt;/Year&gt;&lt;RecNum&gt;447&lt;/RecNum&gt;&lt;DisplayText&gt;&lt;style face="superscript"&gt;37&lt;/style&gt;&lt;/DisplayText&gt;&lt;record&gt;&lt;rec-number&gt;447&lt;/rec-number&gt;&lt;foreign-keys&gt;&lt;key app="EN" db-id="9eeeap9akwrsete9ft3xp2puxwwrw9ev5fd0" timestamp="1724084516"&gt;447&lt;/key&gt;&lt;/foreign-keys&gt;&lt;ref-type name="Book Section"&gt;5&lt;/ref-type&gt;&lt;contributors&gt;&lt;authors&gt;&lt;author&gt;Kitahara, Cari M.&lt;/author&gt;&lt;author&gt;Schneider, Arthur B.&lt;/author&gt;&lt;author&gt;Brenner, Alina V.&lt;/author&gt;&lt;/authors&gt;&lt;secondary-authors&gt;&lt;author&gt;Thun, Michael&lt;/author&gt;&lt;author&gt;Linet, Martha S.&lt;/author&gt;&lt;author&gt;Cerhan, James R.&lt;/author&gt;&lt;author&gt;Haiman, Christopher A.&lt;/author&gt;&lt;author&gt;Schottenfeld, David&lt;/author&gt;&lt;/secondary-authors&gt;&lt;/contributors&gt;&lt;titles&gt;&lt;title&gt;839Thyroid Cancer&lt;/title&gt;&lt;secondary-title&gt;Cancer Epidemiology and Prevention&lt;/secondary-title&gt;&lt;/titles&gt;&lt;pages&gt;0&lt;/pages&gt;&lt;dates&gt;&lt;year&gt;2017&lt;/year&gt;&lt;/dates&gt;&lt;publisher&gt;Oxford University Press&lt;/publisher&gt;&lt;isbn&gt;9780190238667&lt;/isbn&gt;&lt;urls&gt;&lt;related-urls&gt;&lt;url&gt;https://doi.org/10.1093/oso/9780190238667.003.0044&lt;/url&gt;&lt;/related-urls&gt;&lt;/urls&gt;&lt;custom1&gt;Oxford Academic&lt;/custom1&gt;&lt;electronic-resource-num&gt;10.1093/oso/9780190238667.003.0044&lt;/electronic-resource-num&gt;&lt;access-date&gt;8/19/2024&lt;/access-date&gt;&lt;/record&gt;&lt;/Cite&gt;&lt;/EndNote&gt;</w:instrText>
      </w:r>
      <w:r w:rsidR="007C6FF1" w:rsidRPr="00E6798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37</w:t>
      </w:r>
      <w:r w:rsidR="007C6FF1" w:rsidRPr="00E67983">
        <w:rPr>
          <w:rFonts w:asciiTheme="minorHAnsi" w:hAnsiTheme="minorHAnsi" w:cstheme="minorHAnsi"/>
          <w:sz w:val="22"/>
          <w:szCs w:val="22"/>
        </w:rPr>
        <w:fldChar w:fldCharType="end"/>
      </w:r>
      <w:r w:rsidR="007C6FF1" w:rsidRPr="00E67983">
        <w:rPr>
          <w:rFonts w:asciiTheme="minorHAnsi" w:hAnsiTheme="minorHAnsi" w:cstheme="minorHAnsi"/>
          <w:sz w:val="22"/>
          <w:szCs w:val="22"/>
        </w:rPr>
        <w:t xml:space="preserve"> </w:t>
      </w:r>
      <w:r w:rsidR="00500B16" w:rsidRPr="00E67983">
        <w:rPr>
          <w:rFonts w:asciiTheme="minorHAnsi" w:hAnsiTheme="minorHAnsi" w:cstheme="minorHAnsi"/>
          <w:sz w:val="22"/>
          <w:szCs w:val="22"/>
        </w:rPr>
        <w:t>S</w:t>
      </w:r>
      <w:r w:rsidR="00500B16" w:rsidRPr="00F3449C">
        <w:rPr>
          <w:rFonts w:asciiTheme="minorHAnsi" w:hAnsiTheme="minorHAnsi" w:cstheme="minorHAnsi"/>
          <w:sz w:val="22"/>
          <w:szCs w:val="22"/>
        </w:rPr>
        <w:t xml:space="preserve">uboptimal nutrition </w:t>
      </w:r>
      <w:r w:rsidR="00500B16" w:rsidRPr="00E67983">
        <w:rPr>
          <w:rFonts w:asciiTheme="minorHAnsi" w:hAnsiTheme="minorHAnsi" w:cstheme="minorHAnsi"/>
          <w:sz w:val="22"/>
          <w:szCs w:val="22"/>
        </w:rPr>
        <w:t>in early life may also</w:t>
      </w:r>
      <w:r w:rsidR="00500B16" w:rsidRPr="00F3449C">
        <w:rPr>
          <w:rFonts w:asciiTheme="minorHAnsi" w:hAnsiTheme="minorHAnsi" w:cstheme="minorHAnsi"/>
          <w:sz w:val="22"/>
          <w:szCs w:val="22"/>
        </w:rPr>
        <w:t xml:space="preserve"> trigger adaptive</w:t>
      </w:r>
      <w:r w:rsidR="00373593" w:rsidRPr="00F3449C">
        <w:rPr>
          <w:rFonts w:asciiTheme="minorHAnsi" w:hAnsiTheme="minorHAnsi" w:cstheme="minorHAnsi"/>
          <w:sz w:val="22"/>
          <w:szCs w:val="22"/>
        </w:rPr>
        <w:t xml:space="preserve"> epigenetic changes</w:t>
      </w:r>
      <w:r w:rsidR="00325D13">
        <w:rPr>
          <w:rFonts w:asciiTheme="minorHAnsi" w:hAnsiTheme="minorHAnsi" w:cstheme="minorHAnsi"/>
          <w:sz w:val="22"/>
          <w:szCs w:val="22"/>
        </w:rPr>
        <w:t>,</w:t>
      </w:r>
      <w:r w:rsidR="00012640">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InN1cGVyc2NyaXB0Ij4zODwvc3R5bGU+PC9EaXNwbGF5VGV4dD48cmVjb3JkPjxyZWMtbnVtYmVy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InN1cGVyc2NyaXB0Ij4zODwvc3R5bGU+PC9EaXNwbGF5VGV4dD48cmVjb3JkPjxyZWMtbnVtYmVy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012640">
        <w:rPr>
          <w:rFonts w:asciiTheme="minorHAnsi" w:hAnsiTheme="minorHAnsi" w:cstheme="minorHAnsi"/>
          <w:sz w:val="22"/>
          <w:szCs w:val="22"/>
        </w:rPr>
      </w:r>
      <w:r w:rsidR="00012640">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38</w:t>
      </w:r>
      <w:r w:rsidR="00012640">
        <w:rPr>
          <w:rFonts w:asciiTheme="minorHAnsi" w:hAnsiTheme="minorHAnsi" w:cstheme="minorHAnsi"/>
          <w:sz w:val="22"/>
          <w:szCs w:val="22"/>
        </w:rPr>
        <w:fldChar w:fldCharType="end"/>
      </w:r>
      <w:r w:rsidR="00137C12" w:rsidRPr="00F3449C">
        <w:rPr>
          <w:rFonts w:asciiTheme="minorHAnsi" w:hAnsiTheme="minorHAnsi" w:cstheme="minorHAnsi"/>
          <w:sz w:val="22"/>
          <w:szCs w:val="22"/>
        </w:rPr>
        <w:t xml:space="preserve"> </w:t>
      </w:r>
      <w:r w:rsidR="00D311EA" w:rsidRPr="00F3449C">
        <w:rPr>
          <w:rFonts w:asciiTheme="minorHAnsi" w:hAnsiTheme="minorHAnsi" w:cstheme="minorHAnsi"/>
          <w:sz w:val="22"/>
          <w:szCs w:val="22"/>
        </w:rPr>
        <w:t>hormonal imbalances</w:t>
      </w:r>
      <w:r w:rsidR="00325D13">
        <w:rPr>
          <w:rFonts w:asciiTheme="minorHAnsi" w:hAnsiTheme="minorHAnsi" w:cstheme="minorHAnsi"/>
          <w:sz w:val="22"/>
          <w:szCs w:val="22"/>
        </w:rPr>
        <w:t>,</w:t>
      </w:r>
      <w:r w:rsidR="00D311EA" w:rsidRPr="00F3449C">
        <w:rPr>
          <w:rFonts w:asciiTheme="minorHAnsi" w:hAnsiTheme="minorHAnsi" w:cstheme="minorHAnsi"/>
          <w:sz w:val="22"/>
          <w:szCs w:val="22"/>
        </w:rPr>
        <w:t xml:space="preserve"> and growth disruptions</w:t>
      </w:r>
      <w:r w:rsidR="00634945" w:rsidRPr="00F3449C">
        <w:rPr>
          <w:rFonts w:asciiTheme="minorHAnsi" w:hAnsiTheme="minorHAnsi" w:cstheme="minorHAnsi"/>
          <w:sz w:val="22"/>
          <w:szCs w:val="22"/>
        </w:rPr>
        <w:t>,</w:t>
      </w:r>
      <w:r w:rsidR="000D5CEC" w:rsidRPr="00F3449C">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&lt;EndNote&gt;&lt;Cite&gt;&lt;Author&gt;Thissen&lt;/Author&gt;&lt;Year&gt;1994&lt;/Year&gt;&lt;RecNum&gt;442&lt;/RecNum&gt;&lt;DisplayText&gt;&lt;style face="superscript"&gt;39&lt;/style&gt;&lt;/DisplayText&gt;&lt;record&gt;&lt;rec-number&gt;442&lt;/rec-number&gt;&lt;foreign-keys&gt;&lt;key app="EN" db-id="9eeeap9akwrsete9ft3xp2puxwwrw9ev5fd0" timestamp="1723138580"&gt;442&lt;/key&gt;&lt;/foreign-keys&gt;&lt;ref-type name="Journal Article"&gt;17&lt;/ref-type&gt;&lt;contributors&gt;&lt;authors&gt;&lt;author&gt;Thissen, J. P.&lt;/author&gt;&lt;author&gt;Ketelslegers, J. M.&lt;/author&gt;&lt;author&gt;Underwood, L. E.&lt;/author&gt;&lt;/authors&gt;&lt;/contributors&gt;&lt;auth-address&gt;Division of Pediatric Endocrinology, University of North Carolina, Chapel Hill 27599.&lt;/auth-address&gt;&lt;titles&gt;&lt;title&gt;Nutritional regulation of the insulin-like growth factors&lt;/title&gt;&lt;secondary-title&gt;Endocr Rev&lt;/secondary-title&gt;&lt;/titles&gt;&lt;periodical&gt;&lt;full-title&gt;Endocr Rev&lt;/full-title&gt;&lt;/periodical&gt;&lt;pages&gt;80-101&lt;/pages&gt;&lt;volume&gt;15&lt;/volume&gt;&lt;number&gt;1&lt;/number&gt;&lt;keywords&gt;&lt;keyword&gt;Animals&lt;/keyword&gt;&lt;keyword&gt;Diet&lt;/keyword&gt;&lt;keyword&gt;Exercise/physiology&lt;/keyword&gt;&lt;keyword&gt;Fasting/physiology&lt;/keyword&gt;&lt;keyword&gt;Gene Expression Regulation/physiology&lt;/keyword&gt;&lt;keyword&gt;Humans&lt;/keyword&gt;&lt;keyword&gt;Hypothalamus/physiology&lt;/keyword&gt;&lt;keyword&gt;Insulin/physiology&lt;/keyword&gt;&lt;keyword&gt;Insulin-Like Growth Factor I/physiology&lt;/keyword&gt;&lt;keyword&gt;Insulin-Like Growth Factor II/physiology&lt;/keyword&gt;&lt;keyword&gt;Nutritional Physiological Phenomena/*physiology&lt;/keyword&gt;&lt;keyword&gt;Nutritional Status/physiology&lt;/keyword&gt;&lt;keyword&gt;Somatomedins/*physiology&lt;/keyword&gt;&lt;keyword&gt;Thyroid Hormones/physiology&lt;/keyword&gt;&lt;/keywords&gt;&lt;dates&gt;&lt;year&gt;1994&lt;/year&gt;&lt;pub-dates&gt;&lt;date&gt;Feb&lt;/date&gt;&lt;/pub-dates&gt;&lt;/dates&gt;&lt;isbn&gt;0163-769X (Print)&amp;#xD;0163-769x&lt;/isbn&gt;&lt;accession-num&gt;8156941&lt;/accession-num&gt;&lt;urls&gt;&lt;/urls&gt;&lt;electronic-resource-num&gt;10.1210/edrv-15-1-80&lt;/electronic-resource-num&gt;&lt;remote-database-provider&gt;NLM&lt;/remote-database-provider&gt;&lt;language&gt;eng&lt;/language&gt;&lt;/record&gt;&lt;/Cite&gt;&lt;/EndNote&gt;</w:instrText>
      </w:r>
      <w:r w:rsidR="000D5CEC" w:rsidRPr="00F3449C">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39</w:t>
      </w:r>
      <w:r w:rsidR="000D5CEC" w:rsidRPr="00F3449C">
        <w:rPr>
          <w:rFonts w:asciiTheme="minorHAnsi" w:hAnsiTheme="minorHAnsi" w:cstheme="minorHAnsi"/>
          <w:sz w:val="22"/>
          <w:szCs w:val="22"/>
        </w:rPr>
        <w:fldChar w:fldCharType="end"/>
      </w:r>
      <w:r w:rsidR="005A2323" w:rsidRPr="00F3449C">
        <w:rPr>
          <w:rFonts w:asciiTheme="minorHAnsi" w:hAnsiTheme="minorHAnsi" w:cstheme="minorHAnsi"/>
          <w:sz w:val="22"/>
          <w:szCs w:val="22"/>
        </w:rPr>
        <w:t xml:space="preserve"> </w:t>
      </w:r>
      <w:r w:rsidR="00395C14" w:rsidRPr="00F3449C">
        <w:rPr>
          <w:rFonts w:asciiTheme="minorHAnsi" w:hAnsiTheme="minorHAnsi" w:cstheme="minorHAnsi"/>
          <w:sz w:val="22"/>
          <w:szCs w:val="22"/>
        </w:rPr>
        <w:t>specifically variations in growth hormone and IGF-1 levels</w:t>
      </w:r>
      <w:r w:rsidR="00F3449C" w:rsidRPr="00E67983">
        <w:rPr>
          <w:rFonts w:asciiTheme="minorHAnsi" w:hAnsiTheme="minorHAnsi" w:cstheme="minorHAnsi"/>
          <w:sz w:val="22"/>
          <w:szCs w:val="22"/>
        </w:rPr>
        <w:t>.</w:t>
      </w:r>
      <w:r w:rsidR="000828D3" w:rsidRPr="00E67983">
        <w:rPr>
          <w:rFonts w:asciiTheme="minorHAnsi" w:hAnsiTheme="minorHAnsi" w:cstheme="minorHAnsi"/>
          <w:sz w:val="22"/>
          <w:szCs w:val="22"/>
        </w:rPr>
        <w:t xml:space="preserve"> </w:t>
      </w:r>
      <w:bookmarkEnd w:id="4"/>
      <w:r w:rsidR="00325D13">
        <w:rPr>
          <w:rFonts w:asciiTheme="minorHAnsi" w:hAnsiTheme="minorHAnsi" w:cstheme="minorHAnsi"/>
          <w:sz w:val="22"/>
          <w:szCs w:val="22"/>
        </w:rPr>
        <w:t>W</w:t>
      </w:r>
      <w:r w:rsidR="00012640" w:rsidRPr="00012640">
        <w:rPr>
          <w:rFonts w:asciiTheme="minorHAnsi" w:hAnsiTheme="minorHAnsi" w:cstheme="minorHAnsi"/>
          <w:sz w:val="22"/>
          <w:szCs w:val="22"/>
        </w:rPr>
        <w:t>hile high IGF-1 levels</w:t>
      </w:r>
      <w:r w:rsidR="00012640">
        <w:rPr>
          <w:rFonts w:asciiTheme="minorHAnsi" w:hAnsiTheme="minorHAnsi" w:cstheme="minorHAnsi"/>
          <w:sz w:val="22"/>
          <w:szCs w:val="22"/>
        </w:rPr>
        <w:t xml:space="preserve"> during childhood</w:t>
      </w:r>
      <w:r w:rsidR="000902A3">
        <w:rPr>
          <w:rFonts w:asciiTheme="minorHAnsi" w:hAnsiTheme="minorHAnsi" w:cstheme="minorHAnsi"/>
          <w:sz w:val="22"/>
          <w:szCs w:val="22"/>
        </w:rPr>
        <w:t>, which reflect nutritional status,</w:t>
      </w:r>
      <w:r w:rsidR="00012640" w:rsidRPr="00012640">
        <w:rPr>
          <w:rFonts w:asciiTheme="minorHAnsi" w:hAnsiTheme="minorHAnsi" w:cstheme="minorHAnsi"/>
          <w:sz w:val="22"/>
          <w:szCs w:val="22"/>
        </w:rPr>
        <w:t xml:space="preserve"> are typically associated with taller stature and </w:t>
      </w:r>
      <w:r w:rsidR="000902A3">
        <w:rPr>
          <w:rFonts w:asciiTheme="minorHAnsi" w:hAnsiTheme="minorHAnsi" w:cstheme="minorHAnsi"/>
          <w:sz w:val="22"/>
          <w:szCs w:val="22"/>
        </w:rPr>
        <w:t>heavier weight</w:t>
      </w:r>
      <w:r w:rsidR="00012640" w:rsidRPr="00012640">
        <w:rPr>
          <w:rFonts w:asciiTheme="minorHAnsi" w:hAnsiTheme="minorHAnsi" w:cstheme="minorHAnsi"/>
          <w:sz w:val="22"/>
          <w:szCs w:val="22"/>
        </w:rPr>
        <w:t>,</w:t>
      </w:r>
      <w:r w:rsidR="000902A3">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&lt;EndNote&gt;&lt;Cite&gt;&lt;Author&gt;Ong&lt;/Author&gt;&lt;Year&gt;2002&lt;/Year&gt;&lt;RecNum&gt;449&lt;/RecNum&gt;&lt;DisplayText&gt;&lt;style face="superscript"&gt;40&lt;/style&gt;&lt;/DisplayText&gt;&lt;record&gt;&lt;rec-number&gt;449&lt;/rec-number&gt;&lt;foreign-keys&gt;&lt;key app="EN" db-id="9eeeap9akwrsete9ft3xp2puxwwrw9ev5fd0" timestamp="1724120786"&gt;449&lt;/key&gt;&lt;/foreign-keys&gt;&lt;ref-type name="Journal Article"&gt;17&lt;/ref-type&gt;&lt;contributors&gt;&lt;authors&gt;&lt;author&gt;Ong, K.&lt;/author&gt;&lt;author&gt;Kratzsch, J.&lt;/author&gt;&lt;author&gt;Kiess, W.&lt;/author&gt;&lt;author&gt;Dunger, D.&lt;/author&gt;&lt;/authors&gt;&lt;/contributors&gt;&lt;auth-address&gt;Department of Pediatrics, University of Cambridge, Addenbrookes Hospital, Cambridge CB2 2QQ, United Kingdom.&lt;/auth-address&gt;&lt;titles&gt;&lt;title&gt;Circulating IGF-I levels in childhood are related to both current body composition and early postnatal growth rate&lt;/title&gt;&lt;secondary-title&gt;J Clin Endocrinol Metab&lt;/secondary-title&gt;&lt;/titles&gt;&lt;periodical&gt;&lt;full-title&gt;J Clin Endocrinol Metab&lt;/full-title&gt;&lt;abbr-1&gt;The Journal of clinical endocrinology and metabolism&lt;/abbr-1&gt;&lt;/periodical&gt;&lt;pages&gt;1041-4&lt;/pages&gt;&lt;volume&gt;87&lt;/volume&gt;&lt;number&gt;3&lt;/number&gt;&lt;keywords&gt;&lt;keyword&gt;Aging/blood&lt;/keyword&gt;&lt;keyword&gt;Birth Weight&lt;/keyword&gt;&lt;keyword&gt;*Body Composition&lt;/keyword&gt;&lt;keyword&gt;Body Constitution&lt;/keyword&gt;&lt;keyword&gt;*Child Development&lt;/keyword&gt;&lt;keyword&gt;Child, Preschool&lt;/keyword&gt;&lt;keyword&gt;Female&lt;/keyword&gt;&lt;keyword&gt;Fetal Blood&lt;/keyword&gt;&lt;keyword&gt;Humans&lt;/keyword&gt;&lt;keyword&gt;Infant, Newborn/growth &amp;amp; development&lt;/keyword&gt;&lt;keyword&gt;Insulin-Like Growth Factor I/*analysis&lt;/keyword&gt;&lt;keyword&gt;Insulin-Like Growth Factor II/analysis&lt;/keyword&gt;&lt;keyword&gt;Longitudinal Studies&lt;/keyword&gt;&lt;keyword&gt;Male&lt;/keyword&gt;&lt;keyword&gt;Weight Gain&lt;/keyword&gt;&lt;/keywords&gt;&lt;dates&gt;&lt;year&gt;2002&lt;/year&gt;&lt;pub-dates&gt;&lt;date&gt;Mar&lt;/date&gt;&lt;/pub-dates&gt;&lt;/dates&gt;&lt;isbn&gt;0021-972X (Print)&amp;#xD;0021-972x&lt;/isbn&gt;&lt;accession-num&gt;11889159&lt;/accession-num&gt;&lt;urls&gt;&lt;/urls&gt;&lt;electronic-resource-num&gt;10.1210/jcem.87.3.8342&lt;/electronic-resource-num&gt;&lt;remote-database-provider&gt;NLM&lt;/remote-database-provider&gt;&lt;language&gt;eng&lt;/language&gt;&lt;/record&gt;&lt;/Cite&gt;&lt;/EndNote&gt;</w:instrText>
      </w:r>
      <w:r w:rsidR="000902A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40</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some evidence suggests that </w:t>
      </w:r>
      <w:r w:rsidR="00012640">
        <w:rPr>
          <w:rFonts w:asciiTheme="minorHAnsi" w:hAnsiTheme="minorHAnsi" w:cstheme="minorHAnsi"/>
          <w:sz w:val="22"/>
          <w:szCs w:val="22"/>
        </w:rPr>
        <w:t xml:space="preserve">early-life </w:t>
      </w:r>
      <w:r w:rsidR="00012640" w:rsidRPr="00012640">
        <w:rPr>
          <w:rFonts w:asciiTheme="minorHAnsi" w:hAnsiTheme="minorHAnsi" w:cstheme="minorHAnsi"/>
          <w:sz w:val="22"/>
          <w:szCs w:val="22"/>
        </w:rPr>
        <w:t xml:space="preserve">acute exposure to caloric restriction may </w:t>
      </w:r>
      <w:r w:rsidR="00012640">
        <w:rPr>
          <w:rFonts w:asciiTheme="minorHAnsi" w:hAnsiTheme="minorHAnsi" w:cstheme="minorHAnsi"/>
          <w:sz w:val="22"/>
          <w:szCs w:val="22"/>
        </w:rPr>
        <w:t>result in</w:t>
      </w:r>
      <w:r w:rsidR="00012640" w:rsidRPr="00012640">
        <w:rPr>
          <w:rFonts w:asciiTheme="minorHAnsi" w:hAnsiTheme="minorHAnsi" w:cstheme="minorHAnsi"/>
          <w:sz w:val="22"/>
          <w:szCs w:val="22"/>
        </w:rPr>
        <w:t xml:space="preserve"> higher IGF-1 levels in adulthood,</w:t>
      </w:r>
      <w:r w:rsidR="000902A3">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Y051bT40NTA8L1JlY051bT48RGlzcGxheVRleHQ+PHN0eWxlIGZhY2U9InN1cGVyc2NyaXB0Ij40
MTwvc3R5bGU+PC9EaXNwbGF5VGV4dD48cmVjb3JkPjxyZWMtbnVtYmVyPjQ1MDwvcmVjLW51bWJl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Y051bT40NTA8L1JlY051bT48RGlzcGxheVRleHQ+PHN0eWxlIGZhY2U9InN1cGVyc2NyaXB0Ij40
MTwvc3R5bGU+PC9EaXNwbGF5VGV4dD48cmVjb3JkPjxyZWMtbnVtYmVyPjQ1MDwvcmVjLW51bWJl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0902A3">
        <w:rPr>
          <w:rFonts w:asciiTheme="minorHAnsi" w:hAnsiTheme="minorHAnsi" w:cstheme="minorHAnsi"/>
          <w:sz w:val="22"/>
          <w:szCs w:val="22"/>
        </w:rPr>
      </w:r>
      <w:r w:rsidR="000902A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41</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w:t>
      </w:r>
      <w:r w:rsidR="00325D13">
        <w:rPr>
          <w:rFonts w:asciiTheme="minorHAnsi" w:hAnsiTheme="minorHAnsi" w:cstheme="minorHAnsi"/>
          <w:sz w:val="22"/>
          <w:szCs w:val="22"/>
        </w:rPr>
        <w:t>suggesting a possible mechanism contributing to thyroid cancer development.</w:t>
      </w:r>
    </w:p>
    <w:p w14:paraId="7226D8DE" w14:textId="2923379D" w:rsidR="004E14C3" w:rsidRDefault="005B6AB6" w:rsidP="004E14C3">
      <w:pPr>
        <w:spacing w:line="360" w:lineRule="auto"/>
        <w:rPr>
          <w:rFonts w:cstheme="minorHAnsi"/>
        </w:rPr>
      </w:pPr>
      <w:r w:rsidRPr="00A10AFE">
        <w:rPr>
          <w:rFonts w:eastAsia="Times New Roman" w:cstheme="minorHAnsi"/>
          <w:kern w:val="0"/>
          <w14:ligatures w14:val="none"/>
        </w:rPr>
        <w:t xml:space="preserve">IGF-I has been suggested to </w:t>
      </w:r>
      <w:r w:rsidR="00634945">
        <w:rPr>
          <w:rFonts w:eastAsia="Times New Roman" w:cstheme="minorHAnsi"/>
          <w:kern w:val="0"/>
          <w14:ligatures w14:val="none"/>
        </w:rPr>
        <w:t>influence</w:t>
      </w:r>
      <w:r w:rsidRPr="00A10AFE">
        <w:rPr>
          <w:rFonts w:eastAsia="Times New Roman" w:cstheme="minorHAnsi"/>
          <w:kern w:val="0"/>
          <w14:ligatures w14:val="none"/>
        </w:rPr>
        <w:t xml:space="preserve"> carcinogenesis given its role in cell proliferation, differentiation, metabolism, apoptosis, and angiogenesis</w:t>
      </w:r>
      <w:r w:rsidR="008254AD" w:rsidRPr="00A10AFE">
        <w:rPr>
          <w:rFonts w:eastAsia="Times New Roman" w:cstheme="minorHAnsi"/>
          <w:kern w:val="0"/>
          <w14:ligatures w14:val="none"/>
        </w:rPr>
        <w:t>.</w:t>
      </w:r>
      <w:r w:rsidR="00F83140" w:rsidRPr="00A10AFE">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NDI8L3N0eWxlPjwvRGlzcGxheVRleHQ+PHJlY29yZD48cmVjLW51bWJlcj40MjY8L3JlYy1udW1i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NDI8L3N0eWxlPjwvRGlzcGxheVRleHQ+PHJlY29yZD48cmVjLW51bWJlcj40MjY8L3JlYy1udW1i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F83140" w:rsidRPr="00A10AFE">
        <w:rPr>
          <w:rFonts w:eastAsia="Times New Roman" w:cstheme="minorHAnsi"/>
          <w:kern w:val="0"/>
          <w14:ligatures w14:val="none"/>
        </w:rPr>
      </w:r>
      <w:r w:rsidR="00F83140" w:rsidRPr="00A10AFE">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42</w:t>
      </w:r>
      <w:r w:rsidR="00F83140" w:rsidRPr="00A10AFE">
        <w:rPr>
          <w:rFonts w:eastAsia="Times New Roman" w:cstheme="minorHAnsi"/>
          <w:kern w:val="0"/>
          <w14:ligatures w14:val="none"/>
        </w:rPr>
        <w:fldChar w:fldCharType="end"/>
      </w:r>
      <w:r w:rsidRPr="00A10AFE">
        <w:rPr>
          <w:rFonts w:eastAsia="Times New Roman" w:cstheme="minorHAnsi"/>
          <w:kern w:val="0"/>
          <w14:ligatures w14:val="none"/>
        </w:rPr>
        <w:t xml:space="preserve"> </w:t>
      </w:r>
      <w:r w:rsidR="00914403" w:rsidRPr="00A10AFE">
        <w:rPr>
          <w:rFonts w:eastAsia="Times New Roman" w:cstheme="minorHAnsi"/>
          <w:kern w:val="0"/>
          <w14:ligatures w14:val="none"/>
        </w:rPr>
        <w:t xml:space="preserve">Experimental studies have </w:t>
      </w:r>
      <w:r w:rsidR="007D7994" w:rsidRPr="00A10AFE">
        <w:rPr>
          <w:rFonts w:eastAsia="Times New Roman" w:cstheme="minorHAnsi"/>
          <w:kern w:val="0"/>
          <w14:ligatures w14:val="none"/>
        </w:rPr>
        <w:t xml:space="preserve">found that </w:t>
      </w:r>
      <w:r w:rsidR="007C3426" w:rsidRPr="00A10AFE">
        <w:rPr>
          <w:rFonts w:eastAsia="Times New Roman" w:cstheme="minorHAnsi"/>
          <w:kern w:val="0"/>
          <w14:ligatures w14:val="none"/>
        </w:rPr>
        <w:t xml:space="preserve">IGF-1 </w:t>
      </w:r>
      <w:r w:rsidR="007D7994" w:rsidRPr="00A10AFE">
        <w:rPr>
          <w:rFonts w:eastAsia="Times New Roman" w:cstheme="minorHAnsi"/>
          <w:kern w:val="0"/>
          <w14:ligatures w14:val="none"/>
        </w:rPr>
        <w:t xml:space="preserve">is </w:t>
      </w:r>
      <w:r w:rsidR="007C3426" w:rsidRPr="00A10AFE">
        <w:rPr>
          <w:rFonts w:eastAsia="Times New Roman" w:cstheme="minorHAnsi"/>
          <w:kern w:val="0"/>
          <w14:ligatures w14:val="none"/>
        </w:rPr>
        <w:t>more highly expressed in thyroid cancer than in normal tissues and benign lesions.</w:t>
      </w:r>
      <w:r w:rsidR="000E10D7">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aXB0Ij40Mzwvc3R5bGU+PC9EaXNwbGF5VGV4dD48cmVjb3JkPjxyZWMtbnVtYmVyPjQ0MTwvcmVj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aXB0Ij40Mzwvc3R5bGU+PC9EaXNwbGF5VGV4dD48cmVjb3JkPjxyZWMtbnVtYmVyPjQ0MTwvcmVj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0E10D7">
        <w:rPr>
          <w:rFonts w:eastAsia="Times New Roman" w:cstheme="minorHAnsi"/>
          <w:kern w:val="0"/>
          <w14:ligatures w14:val="none"/>
        </w:rPr>
      </w:r>
      <w:r w:rsidR="000E10D7">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43</w:t>
      </w:r>
      <w:r w:rsidR="000E10D7">
        <w:rPr>
          <w:rFonts w:eastAsia="Times New Roman" w:cstheme="minorHAnsi"/>
          <w:kern w:val="0"/>
          <w14:ligatures w14:val="none"/>
        </w:rPr>
        <w:fldChar w:fldCharType="end"/>
      </w:r>
      <w:r w:rsidR="007C3426" w:rsidRPr="00A10AFE">
        <w:rPr>
          <w:rFonts w:eastAsia="Times New Roman" w:cstheme="minorHAnsi"/>
          <w:kern w:val="0"/>
          <w14:ligatures w14:val="none"/>
        </w:rPr>
        <w:t xml:space="preserve"> </w:t>
      </w:r>
      <w:r w:rsidR="007D7994" w:rsidRPr="00A10AFE">
        <w:rPr>
          <w:rFonts w:eastAsia="Times New Roman" w:cstheme="minorHAnsi"/>
          <w:kern w:val="0"/>
          <w14:ligatures w14:val="none"/>
        </w:rPr>
        <w:t>Moreover, t</w:t>
      </w:r>
      <w:r w:rsidR="00870010" w:rsidRPr="00A10AFE">
        <w:rPr>
          <w:rFonts w:eastAsia="Times New Roman" w:cstheme="minorHAnsi"/>
          <w:kern w:val="0"/>
          <w14:ligatures w14:val="none"/>
        </w:rPr>
        <w:t xml:space="preserve">here </w:t>
      </w:r>
      <w:r w:rsidR="00325D13">
        <w:rPr>
          <w:rFonts w:eastAsia="Times New Roman" w:cstheme="minorHAnsi"/>
          <w:kern w:val="0"/>
          <w14:ligatures w14:val="none"/>
        </w:rPr>
        <w:t>is</w:t>
      </w:r>
      <w:r w:rsidR="00870010" w:rsidRPr="00A10AFE">
        <w:rPr>
          <w:rFonts w:eastAsia="Times New Roman" w:cstheme="minorHAnsi"/>
          <w:kern w:val="0"/>
          <w14:ligatures w14:val="none"/>
        </w:rPr>
        <w:t xml:space="preserve"> </w:t>
      </w:r>
      <w:r w:rsidR="00316FFA" w:rsidRPr="00A10AFE">
        <w:rPr>
          <w:rFonts w:eastAsia="Times New Roman" w:cstheme="minorHAnsi"/>
          <w:kern w:val="0"/>
          <w14:ligatures w14:val="none"/>
        </w:rPr>
        <w:t xml:space="preserve">evidence of increased risk of thyroid cancer in </w:t>
      </w:r>
      <w:r w:rsidR="007E22DC" w:rsidRPr="00A10AFE">
        <w:rPr>
          <w:rFonts w:eastAsia="Times New Roman" w:cstheme="minorHAnsi"/>
          <w:kern w:val="0"/>
          <w14:ligatures w14:val="none"/>
        </w:rPr>
        <w:t xml:space="preserve">individuals with elevated </w:t>
      </w:r>
      <w:r w:rsidR="00870010" w:rsidRPr="00A10AFE">
        <w:rPr>
          <w:rFonts w:eastAsia="Times New Roman" w:cstheme="minorHAnsi"/>
          <w:kern w:val="0"/>
          <w14:ligatures w14:val="none"/>
        </w:rPr>
        <w:t>growth hormone</w:t>
      </w:r>
      <w:r w:rsidR="007E22DC" w:rsidRPr="00A10AFE">
        <w:rPr>
          <w:rFonts w:eastAsia="Times New Roman" w:cstheme="minorHAnsi"/>
          <w:kern w:val="0"/>
          <w14:ligatures w14:val="none"/>
        </w:rPr>
        <w:t>/IGF</w:t>
      </w:r>
      <w:r w:rsidR="00A10AFE">
        <w:rPr>
          <w:rFonts w:eastAsia="Times New Roman" w:cstheme="minorHAnsi"/>
          <w:kern w:val="0"/>
          <w14:ligatures w14:val="none"/>
        </w:rPr>
        <w:noBreakHyphen/>
      </w:r>
      <w:r w:rsidR="007E22DC" w:rsidRPr="00A10AFE">
        <w:rPr>
          <w:rFonts w:eastAsia="Times New Roman" w:cstheme="minorHAnsi"/>
          <w:kern w:val="0"/>
          <w14:ligatures w14:val="none"/>
        </w:rPr>
        <w:t>1 signaling, such as patients with acromegaly.</w:t>
      </w:r>
      <w:r w:rsidR="001425F5">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NDQsNDU8L3N0eWxlPjwvRGlzcGxheVRleHQ+PHJlY29yZD48cmVjLW51bWJlcj40Mzg8L3JlYy1u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NDQsNDU8L3N0eWxlPjwvRGlzcGxheVRleHQ+PHJlY29yZD48cmVjLW51bWJlcj40Mzg8L3JlYy1u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1425F5">
        <w:rPr>
          <w:rFonts w:eastAsia="Times New Roman" w:cstheme="minorHAnsi"/>
          <w:kern w:val="0"/>
          <w14:ligatures w14:val="none"/>
        </w:rPr>
      </w:r>
      <w:r w:rsidR="001425F5">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44,45</w:t>
      </w:r>
      <w:r w:rsidR="001425F5">
        <w:rPr>
          <w:rFonts w:eastAsia="Times New Roman" w:cstheme="minorHAnsi"/>
          <w:kern w:val="0"/>
          <w14:ligatures w14:val="none"/>
        </w:rPr>
        <w:fldChar w:fldCharType="end"/>
      </w:r>
      <w:r w:rsidR="007E22DC" w:rsidRPr="00A10AFE">
        <w:rPr>
          <w:rFonts w:eastAsia="Times New Roman" w:cstheme="minorHAnsi"/>
          <w:kern w:val="0"/>
          <w14:ligatures w14:val="none"/>
        </w:rPr>
        <w:t xml:space="preserve"> </w:t>
      </w:r>
      <w:r w:rsidR="00870010" w:rsidRPr="00A10AFE">
        <w:rPr>
          <w:rFonts w:eastAsia="Times New Roman" w:cstheme="minorHAnsi"/>
          <w:kern w:val="0"/>
          <w14:ligatures w14:val="none"/>
        </w:rPr>
        <w:t>R</w:t>
      </w:r>
      <w:r w:rsidR="00490E8C" w:rsidRPr="00A10AFE">
        <w:rPr>
          <w:rFonts w:eastAsia="Times New Roman" w:cstheme="minorHAnsi"/>
          <w:kern w:val="0"/>
          <w14:ligatures w14:val="none"/>
        </w:rPr>
        <w:t>ecent</w:t>
      </w:r>
      <w:r w:rsidR="00C06498" w:rsidRPr="00A10AFE">
        <w:rPr>
          <w:rFonts w:eastAsia="Times New Roman" w:cstheme="minorHAnsi"/>
          <w:kern w:val="0"/>
          <w14:ligatures w14:val="none"/>
        </w:rPr>
        <w:t xml:space="preserve"> </w:t>
      </w:r>
      <w:r w:rsidR="00B7201E" w:rsidRPr="00A10AFE">
        <w:rPr>
          <w:rFonts w:eastAsia="Times New Roman" w:cstheme="minorHAnsi"/>
          <w:kern w:val="0"/>
          <w14:ligatures w14:val="none"/>
        </w:rPr>
        <w:t xml:space="preserve">large </w:t>
      </w:r>
      <w:r w:rsidR="00463FF5" w:rsidRPr="00A10AFE">
        <w:rPr>
          <w:rFonts w:eastAsia="Times New Roman" w:cstheme="minorHAnsi"/>
          <w:kern w:val="0"/>
          <w14:ligatures w14:val="none"/>
        </w:rPr>
        <w:t>European</w:t>
      </w:r>
      <w:r w:rsidR="00B7201E" w:rsidRPr="00A10AFE">
        <w:rPr>
          <w:rFonts w:eastAsia="Times New Roman" w:cstheme="minorHAnsi"/>
          <w:kern w:val="0"/>
          <w14:ligatures w14:val="none"/>
        </w:rPr>
        <w:t xml:space="preserve"> population-based stud</w:t>
      </w:r>
      <w:r w:rsidR="00C06498" w:rsidRPr="00A10AFE">
        <w:rPr>
          <w:rFonts w:eastAsia="Times New Roman" w:cstheme="minorHAnsi"/>
          <w:kern w:val="0"/>
          <w14:ligatures w14:val="none"/>
        </w:rPr>
        <w:t>ies</w:t>
      </w:r>
      <w:r w:rsidR="00B7201E" w:rsidRPr="00A10AFE">
        <w:rPr>
          <w:rFonts w:eastAsia="Times New Roman" w:cstheme="minorHAnsi"/>
          <w:kern w:val="0"/>
          <w14:ligatures w14:val="none"/>
        </w:rPr>
        <w:t xml:space="preserve"> </w:t>
      </w:r>
      <w:r w:rsidR="0069265C" w:rsidRPr="00A10AFE">
        <w:rPr>
          <w:rFonts w:eastAsia="Times New Roman" w:cstheme="minorHAnsi"/>
          <w:kern w:val="0"/>
          <w14:ligatures w14:val="none"/>
        </w:rPr>
        <w:t xml:space="preserve">have </w:t>
      </w:r>
      <w:r w:rsidR="00AB5FE8" w:rsidRPr="00A10AFE">
        <w:rPr>
          <w:rFonts w:eastAsia="Times New Roman" w:cstheme="minorHAnsi"/>
          <w:kern w:val="0"/>
          <w14:ligatures w14:val="none"/>
        </w:rPr>
        <w:t>showed</w:t>
      </w:r>
      <w:r w:rsidR="00B7201E" w:rsidRPr="00A10AFE">
        <w:rPr>
          <w:rFonts w:eastAsia="Times New Roman" w:cstheme="minorHAnsi"/>
          <w:kern w:val="0"/>
          <w14:ligatures w14:val="none"/>
        </w:rPr>
        <w:t xml:space="preserve"> a positive association between adult IGF-1 levels and subsequent thyroid cancer risk</w:t>
      </w:r>
      <w:r w:rsidR="00490E8C" w:rsidRPr="00A10AFE">
        <w:rPr>
          <w:rFonts w:eastAsia="Times New Roman" w:cstheme="minorHAnsi"/>
          <w:kern w:val="0"/>
          <w14:ligatures w14:val="none"/>
        </w:rPr>
        <w:t>.</w:t>
      </w:r>
      <w:r w:rsidR="00EF0960" w:rsidRPr="00A10AFE">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PjQ2LDQ3PC9zdHlsZT48L0Rpc3BsYXlUZXh0PjxyZWNvcmQ+PHJlYy1udW1iZXI+NDIwPC9yZWMt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PjQ2LDQ3PC9zdHlsZT48L0Rpc3BsYXlUZXh0PjxyZWNvcmQ+PHJlYy1udW1iZXI+NDIwPC9yZWMt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EF0960" w:rsidRPr="00A10AFE">
        <w:rPr>
          <w:rFonts w:eastAsia="Times New Roman" w:cstheme="minorHAnsi"/>
          <w:kern w:val="0"/>
          <w14:ligatures w14:val="none"/>
        </w:rPr>
      </w:r>
      <w:r w:rsidR="00EF0960" w:rsidRPr="00A10AFE">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46,47</w:t>
      </w:r>
      <w:r w:rsidR="00EF0960" w:rsidRPr="00A10AFE">
        <w:rPr>
          <w:rFonts w:eastAsia="Times New Roman" w:cstheme="minorHAnsi"/>
          <w:kern w:val="0"/>
          <w14:ligatures w14:val="none"/>
        </w:rPr>
        <w:fldChar w:fldCharType="end"/>
      </w:r>
      <w:r w:rsidR="00490E8C" w:rsidRPr="00A10AFE">
        <w:rPr>
          <w:rFonts w:eastAsia="Times New Roman" w:cstheme="minorHAnsi"/>
          <w:kern w:val="0"/>
          <w14:ligatures w14:val="none"/>
        </w:rPr>
        <w:t xml:space="preserve"> </w:t>
      </w:r>
      <w:r w:rsidR="00F578C0">
        <w:rPr>
          <w:rFonts w:eastAsia="Times New Roman" w:cstheme="minorHAnsi"/>
          <w:kern w:val="0"/>
          <w14:ligatures w14:val="none"/>
        </w:rPr>
        <w:t>h</w:t>
      </w:r>
      <w:r w:rsidR="00490E8C" w:rsidRPr="00A10AFE">
        <w:rPr>
          <w:rFonts w:eastAsia="Times New Roman" w:cstheme="minorHAnsi"/>
          <w:kern w:val="0"/>
          <w14:ligatures w14:val="none"/>
        </w:rPr>
        <w:t>owever,</w:t>
      </w:r>
      <w:r w:rsidR="00B7201E" w:rsidRPr="00A10AFE">
        <w:rPr>
          <w:rFonts w:eastAsia="Times New Roman" w:cstheme="minorHAnsi"/>
          <w:kern w:val="0"/>
          <w14:ligatures w14:val="none"/>
        </w:rPr>
        <w:t xml:space="preserve"> </w:t>
      </w:r>
      <w:r w:rsidR="00325D13">
        <w:rPr>
          <w:rFonts w:eastAsia="Times New Roman" w:cstheme="minorHAnsi"/>
          <w:kern w:val="0"/>
          <w14:ligatures w14:val="none"/>
        </w:rPr>
        <w:t>the underlying mechanisms linking</w:t>
      </w:r>
      <w:r w:rsidR="00704111">
        <w:rPr>
          <w:rFonts w:eastAsia="Times New Roman" w:cstheme="minorHAnsi"/>
          <w:kern w:val="0"/>
          <w14:ligatures w14:val="none"/>
        </w:rPr>
        <w:t xml:space="preserve"> </w:t>
      </w:r>
      <w:r w:rsidR="00B7201E" w:rsidRPr="00A10AFE">
        <w:rPr>
          <w:rFonts w:eastAsia="Times New Roman" w:cstheme="minorHAnsi"/>
          <w:kern w:val="0"/>
          <w14:ligatures w14:val="none"/>
        </w:rPr>
        <w:t xml:space="preserve">IGF-1 </w:t>
      </w:r>
      <w:r w:rsidR="00490E8C" w:rsidRPr="00A10AFE">
        <w:rPr>
          <w:rFonts w:eastAsia="Times New Roman" w:cstheme="minorHAnsi"/>
          <w:kern w:val="0"/>
          <w14:ligatures w14:val="none"/>
        </w:rPr>
        <w:t xml:space="preserve">and growth hormone </w:t>
      </w:r>
      <w:r w:rsidR="00B7201E" w:rsidRPr="00A10AFE">
        <w:rPr>
          <w:rFonts w:eastAsia="Times New Roman" w:cstheme="minorHAnsi"/>
          <w:kern w:val="0"/>
          <w14:ligatures w14:val="none"/>
        </w:rPr>
        <w:t>levels in early life</w:t>
      </w:r>
      <w:r w:rsidR="00704111">
        <w:rPr>
          <w:rFonts w:eastAsia="Times New Roman" w:cstheme="minorHAnsi"/>
          <w:kern w:val="0"/>
          <w14:ligatures w14:val="none"/>
        </w:rPr>
        <w:t xml:space="preserve"> </w:t>
      </w:r>
      <w:r w:rsidR="00325D13">
        <w:rPr>
          <w:rFonts w:eastAsia="Times New Roman" w:cstheme="minorHAnsi"/>
          <w:kern w:val="0"/>
          <w14:ligatures w14:val="none"/>
        </w:rPr>
        <w:t>with</w:t>
      </w:r>
      <w:r w:rsidR="00704111">
        <w:rPr>
          <w:rFonts w:eastAsia="Times New Roman" w:cstheme="minorHAnsi"/>
          <w:kern w:val="0"/>
          <w14:ligatures w14:val="none"/>
        </w:rPr>
        <w:t xml:space="preserve"> cancer later in life</w:t>
      </w:r>
      <w:r w:rsidR="00325D13">
        <w:rPr>
          <w:rFonts w:eastAsia="Times New Roman" w:cstheme="minorHAnsi"/>
          <w:kern w:val="0"/>
          <w14:ligatures w14:val="none"/>
        </w:rPr>
        <w:t xml:space="preserve"> are not well-understood</w:t>
      </w:r>
      <w:r w:rsidR="00B7201E" w:rsidRPr="00A10AFE">
        <w:rPr>
          <w:rFonts w:eastAsia="Times New Roman" w:cstheme="minorHAnsi"/>
          <w:kern w:val="0"/>
          <w14:ligatures w14:val="none"/>
        </w:rPr>
        <w:t>.</w:t>
      </w:r>
      <w:r w:rsidR="00B7201E">
        <w:rPr>
          <w:rFonts w:cstheme="minorHAnsi"/>
        </w:rPr>
        <w:t xml:space="preserve"> </w:t>
      </w:r>
      <w:r w:rsidR="00325D13">
        <w:rPr>
          <w:rFonts w:cstheme="minorHAnsi"/>
        </w:rPr>
        <w:t xml:space="preserve">Therefore, </w:t>
      </w:r>
      <w:r w:rsidR="004E14C3" w:rsidRPr="00CA3DB4">
        <w:rPr>
          <w:rFonts w:cstheme="minorHAnsi"/>
        </w:rPr>
        <w:t>studies with objective longitudinal measurements of early-life anthropometric factors</w:t>
      </w:r>
      <w:r w:rsidR="00490E8C" w:rsidRPr="00CA3DB4">
        <w:rPr>
          <w:rFonts w:cstheme="minorHAnsi"/>
        </w:rPr>
        <w:t>, IGF-1, and</w:t>
      </w:r>
      <w:r w:rsidR="004E14C3" w:rsidRPr="00CA3DB4">
        <w:rPr>
          <w:rFonts w:cstheme="minorHAnsi"/>
        </w:rPr>
        <w:t xml:space="preserve"> </w:t>
      </w:r>
      <w:r w:rsidR="004E14C3">
        <w:rPr>
          <w:rFonts w:cstheme="minorHAnsi"/>
        </w:rPr>
        <w:t>growth hormone levels are warranted</w:t>
      </w:r>
      <w:r w:rsidR="00325D13">
        <w:rPr>
          <w:rFonts w:cstheme="minorHAnsi"/>
        </w:rPr>
        <w:t>.</w:t>
      </w:r>
    </w:p>
    <w:p w14:paraId="187DF72C" w14:textId="2E1EC51C" w:rsidR="0057250A" w:rsidRDefault="0057250A" w:rsidP="008C37FB">
      <w:pPr>
        <w:pStyle w:val="NormalWeb"/>
        <w:spacing w:line="360" w:lineRule="auto"/>
        <w:rPr>
          <w:rFonts w:asciiTheme="minorHAnsi" w:hAnsiTheme="minorHAnsi" w:cstheme="minorHAnsi"/>
          <w:sz w:val="22"/>
          <w:szCs w:val="22"/>
        </w:rPr>
      </w:pPr>
      <w:r w:rsidRPr="0057250A">
        <w:rPr>
          <w:rFonts w:asciiTheme="minorHAnsi" w:hAnsiTheme="minorHAnsi" w:cstheme="minorHAnsi"/>
          <w:sz w:val="22"/>
          <w:szCs w:val="22"/>
        </w:rPr>
        <w:t xml:space="preserve">In the current study, we did not find </w:t>
      </w:r>
      <w:r w:rsidR="00325D13">
        <w:rPr>
          <w:rFonts w:asciiTheme="minorHAnsi" w:hAnsiTheme="minorHAnsi" w:cstheme="minorHAnsi"/>
          <w:sz w:val="22"/>
          <w:szCs w:val="22"/>
        </w:rPr>
        <w:t>clear</w:t>
      </w:r>
      <w:r w:rsidRPr="0057250A">
        <w:rPr>
          <w:rFonts w:asciiTheme="minorHAnsi" w:hAnsiTheme="minorHAnsi" w:cstheme="minorHAnsi"/>
          <w:sz w:val="22"/>
          <w:szCs w:val="22"/>
        </w:rPr>
        <w:t xml:space="preserve"> association</w:t>
      </w:r>
      <w:r w:rsidR="00325D13">
        <w:rPr>
          <w:rFonts w:asciiTheme="minorHAnsi" w:hAnsiTheme="minorHAnsi" w:cstheme="minorHAnsi"/>
          <w:sz w:val="22"/>
          <w:szCs w:val="22"/>
        </w:rPr>
        <w:t>s</w:t>
      </w:r>
      <w:r w:rsidRPr="0057250A">
        <w:rPr>
          <w:rFonts w:asciiTheme="minorHAnsi" w:hAnsiTheme="minorHAnsi" w:cstheme="minorHAnsi"/>
          <w:sz w:val="22"/>
          <w:szCs w:val="22"/>
        </w:rPr>
        <w:t xml:space="preserve"> </w:t>
      </w:r>
      <w:r w:rsidR="000E1913">
        <w:rPr>
          <w:rFonts w:asciiTheme="minorHAnsi" w:hAnsiTheme="minorHAnsi" w:cstheme="minorHAnsi"/>
          <w:sz w:val="22"/>
          <w:szCs w:val="22"/>
        </w:rPr>
        <w:t>for</w:t>
      </w:r>
      <w:r w:rsidRPr="0057250A">
        <w:rPr>
          <w:rFonts w:asciiTheme="minorHAnsi" w:hAnsiTheme="minorHAnsi" w:cstheme="minorHAnsi"/>
          <w:sz w:val="22"/>
          <w:szCs w:val="22"/>
        </w:rPr>
        <w:t xml:space="preserve"> factors reflecting </w:t>
      </w:r>
      <w:r w:rsidR="00E910AC">
        <w:rPr>
          <w:rFonts w:asciiTheme="minorHAnsi" w:hAnsiTheme="minorHAnsi" w:cstheme="minorHAnsi"/>
          <w:sz w:val="22"/>
          <w:szCs w:val="22"/>
        </w:rPr>
        <w:t xml:space="preserve">early or delayed </w:t>
      </w:r>
      <w:r w:rsidRPr="0057250A">
        <w:rPr>
          <w:rFonts w:asciiTheme="minorHAnsi" w:hAnsiTheme="minorHAnsi" w:cstheme="minorHAnsi"/>
          <w:sz w:val="22"/>
          <w:szCs w:val="22"/>
        </w:rPr>
        <w:t xml:space="preserve">exposure to </w:t>
      </w:r>
      <w:r w:rsidRPr="0057250A">
        <w:rPr>
          <w:rFonts w:asciiTheme="minorHAnsi" w:hAnsiTheme="minorHAnsi" w:cstheme="minorHAnsi"/>
          <w:sz w:val="22"/>
          <w:szCs w:val="22"/>
        </w:rPr>
        <w:lastRenderedPageBreak/>
        <w:t>endogenous sex steroid hormones</w:t>
      </w:r>
      <w:r w:rsidR="005A4A40">
        <w:rPr>
          <w:rFonts w:asciiTheme="minorHAnsi" w:hAnsiTheme="minorHAnsi" w:cstheme="minorHAnsi"/>
          <w:sz w:val="22"/>
          <w:szCs w:val="22"/>
        </w:rPr>
        <w:t xml:space="preserve"> early in life</w:t>
      </w:r>
      <w:r w:rsidRPr="0057250A">
        <w:rPr>
          <w:rFonts w:asciiTheme="minorHAnsi" w:hAnsiTheme="minorHAnsi" w:cstheme="minorHAnsi"/>
          <w:sz w:val="22"/>
          <w:szCs w:val="22"/>
        </w:rPr>
        <w:t>, including age at menarche and age at breast development</w:t>
      </w:r>
      <w:r w:rsidR="00325D13">
        <w:rPr>
          <w:rFonts w:asciiTheme="minorHAnsi" w:hAnsiTheme="minorHAnsi" w:cstheme="minorHAnsi"/>
          <w:sz w:val="22"/>
          <w:szCs w:val="22"/>
        </w:rPr>
        <w:t>,</w:t>
      </w:r>
      <w:r w:rsidR="007762C7">
        <w:rPr>
          <w:rFonts w:asciiTheme="minorHAnsi" w:hAnsiTheme="minorHAnsi" w:cstheme="minorHAnsi"/>
          <w:sz w:val="22"/>
          <w:szCs w:val="22"/>
        </w:rPr>
        <w:t xml:space="preserve"> in agreement</w:t>
      </w:r>
      <w:r w:rsidRPr="0057250A">
        <w:rPr>
          <w:rFonts w:asciiTheme="minorHAnsi" w:hAnsiTheme="minorHAnsi" w:cstheme="minorHAnsi"/>
          <w:sz w:val="22"/>
          <w:szCs w:val="22"/>
        </w:rPr>
        <w:t xml:space="preserve"> with some,</w:t>
      </w:r>
      <w:r w:rsidR="00C93F7C">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24,25</w:t>
      </w:r>
      <w:r w:rsidR="00C93F7C">
        <w:rPr>
          <w:rFonts w:asciiTheme="minorHAnsi" w:hAnsiTheme="minorHAnsi" w:cstheme="minorHAnsi"/>
          <w:sz w:val="22"/>
          <w:szCs w:val="22"/>
        </w:rPr>
        <w:fldChar w:fldCharType="end"/>
      </w:r>
      <w:r w:rsidRPr="0057250A">
        <w:rPr>
          <w:rFonts w:asciiTheme="minorHAnsi" w:hAnsiTheme="minorHAnsi" w:cstheme="minorHAnsi"/>
          <w:sz w:val="22"/>
          <w:szCs w:val="22"/>
        </w:rPr>
        <w:t xml:space="preserve"> but not all,</w:t>
      </w:r>
      <w:r w:rsidR="00C93F7C">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22,23</w:t>
      </w:r>
      <w:r w:rsidR="00C93F7C">
        <w:rPr>
          <w:rFonts w:asciiTheme="minorHAnsi" w:hAnsiTheme="minorHAnsi" w:cstheme="minorHAnsi"/>
          <w:sz w:val="22"/>
          <w:szCs w:val="22"/>
        </w:rPr>
        <w:fldChar w:fldCharType="end"/>
      </w:r>
      <w:r w:rsidR="00C93F7C">
        <w:rPr>
          <w:rFonts w:asciiTheme="minorHAnsi" w:hAnsiTheme="minorHAnsi" w:cstheme="minorHAnsi"/>
          <w:sz w:val="22"/>
          <w:szCs w:val="22"/>
        </w:rPr>
        <w:t xml:space="preserve"> </w:t>
      </w:r>
      <w:r w:rsidRPr="0057250A">
        <w:rPr>
          <w:rFonts w:asciiTheme="minorHAnsi" w:hAnsiTheme="minorHAnsi" w:cstheme="minorHAnsi"/>
          <w:sz w:val="22"/>
          <w:szCs w:val="22"/>
        </w:rPr>
        <w:t xml:space="preserve">previous studies. </w:t>
      </w:r>
      <w:r w:rsidR="00C35D70">
        <w:rPr>
          <w:rFonts w:asciiTheme="minorHAnsi" w:hAnsiTheme="minorHAnsi" w:cstheme="minorHAnsi"/>
          <w:sz w:val="22"/>
          <w:szCs w:val="22"/>
        </w:rPr>
        <w:t>W</w:t>
      </w:r>
      <w:r w:rsidRPr="0057250A">
        <w:rPr>
          <w:rFonts w:asciiTheme="minorHAnsi" w:hAnsiTheme="minorHAnsi" w:cstheme="minorHAnsi"/>
          <w:sz w:val="22"/>
          <w:szCs w:val="22"/>
        </w:rPr>
        <w:t>e</w:t>
      </w:r>
      <w:r w:rsidR="00C35D70">
        <w:rPr>
          <w:rFonts w:asciiTheme="minorHAnsi" w:hAnsiTheme="minorHAnsi" w:cstheme="minorHAnsi"/>
          <w:sz w:val="22"/>
          <w:szCs w:val="22"/>
        </w:rPr>
        <w:t xml:space="preserve"> also did not </w:t>
      </w:r>
      <w:r w:rsidRPr="0057250A">
        <w:rPr>
          <w:rFonts w:asciiTheme="minorHAnsi" w:hAnsiTheme="minorHAnsi" w:cstheme="minorHAnsi"/>
          <w:sz w:val="22"/>
          <w:szCs w:val="22"/>
        </w:rPr>
        <w:t xml:space="preserve">observe </w:t>
      </w:r>
      <w:r w:rsidR="00C35D70">
        <w:rPr>
          <w:rFonts w:asciiTheme="minorHAnsi" w:hAnsiTheme="minorHAnsi" w:cstheme="minorHAnsi"/>
          <w:sz w:val="22"/>
          <w:szCs w:val="22"/>
        </w:rPr>
        <w:t>association</w:t>
      </w:r>
      <w:r w:rsidR="00325D13">
        <w:rPr>
          <w:rFonts w:asciiTheme="minorHAnsi" w:hAnsiTheme="minorHAnsi" w:cstheme="minorHAnsi"/>
          <w:sz w:val="22"/>
          <w:szCs w:val="22"/>
        </w:rPr>
        <w:t>s</w:t>
      </w:r>
      <w:r w:rsidR="00C35D70">
        <w:rPr>
          <w:rFonts w:asciiTheme="minorHAnsi" w:hAnsiTheme="minorHAnsi" w:cstheme="minorHAnsi"/>
          <w:sz w:val="22"/>
          <w:szCs w:val="22"/>
        </w:rPr>
        <w:t xml:space="preserve"> </w:t>
      </w:r>
      <w:r w:rsidR="00325D13">
        <w:rPr>
          <w:rFonts w:asciiTheme="minorHAnsi" w:hAnsiTheme="minorHAnsi" w:cstheme="minorHAnsi"/>
          <w:sz w:val="22"/>
          <w:szCs w:val="22"/>
        </w:rPr>
        <w:t>for</w:t>
      </w:r>
      <w:r w:rsidR="00325D13" w:rsidRPr="0057250A">
        <w:rPr>
          <w:rFonts w:asciiTheme="minorHAnsi" w:hAnsiTheme="minorHAnsi" w:cstheme="minorHAnsi"/>
          <w:sz w:val="22"/>
          <w:szCs w:val="22"/>
        </w:rPr>
        <w:t xml:space="preserve"> </w:t>
      </w:r>
      <w:r w:rsidR="00325D13">
        <w:rPr>
          <w:rFonts w:asciiTheme="minorHAnsi" w:hAnsiTheme="minorHAnsi" w:cstheme="minorHAnsi"/>
          <w:sz w:val="22"/>
          <w:szCs w:val="22"/>
        </w:rPr>
        <w:t>use of</w:t>
      </w:r>
      <w:r w:rsidRPr="0057250A">
        <w:rPr>
          <w:rFonts w:asciiTheme="minorHAnsi" w:hAnsiTheme="minorHAnsi" w:cstheme="minorHAnsi"/>
          <w:sz w:val="22"/>
          <w:szCs w:val="22"/>
        </w:rPr>
        <w:t xml:space="preserve"> hormonal birth control</w:t>
      </w:r>
      <w:r w:rsidR="00325D13">
        <w:rPr>
          <w:rFonts w:asciiTheme="minorHAnsi" w:hAnsiTheme="minorHAnsi" w:cstheme="minorHAnsi"/>
          <w:sz w:val="22"/>
          <w:szCs w:val="22"/>
        </w:rPr>
        <w:t xml:space="preserve"> in adolescence</w:t>
      </w:r>
      <w:r w:rsidRPr="0057250A">
        <w:rPr>
          <w:rFonts w:asciiTheme="minorHAnsi" w:hAnsiTheme="minorHAnsi" w:cstheme="minorHAnsi"/>
          <w:sz w:val="22"/>
          <w:szCs w:val="22"/>
        </w:rPr>
        <w:t xml:space="preserve">. </w:t>
      </w:r>
      <w:r w:rsidR="003A304D">
        <w:rPr>
          <w:rFonts w:asciiTheme="minorHAnsi" w:hAnsiTheme="minorHAnsi" w:cstheme="minorHAnsi"/>
          <w:sz w:val="22"/>
          <w:szCs w:val="22"/>
        </w:rPr>
        <w:t>P</w:t>
      </w:r>
      <w:r w:rsidR="00195E5F">
        <w:rPr>
          <w:rFonts w:asciiTheme="minorHAnsi" w:hAnsiTheme="minorHAnsi" w:cstheme="minorHAnsi"/>
          <w:sz w:val="22"/>
          <w:szCs w:val="22"/>
        </w:rPr>
        <w:t xml:space="preserve">revious studies have shown inconsistent results on the associations </w:t>
      </w:r>
      <w:r w:rsidR="002F4863">
        <w:rPr>
          <w:rFonts w:asciiTheme="minorHAnsi" w:hAnsiTheme="minorHAnsi" w:cstheme="minorHAnsi"/>
          <w:sz w:val="22"/>
          <w:szCs w:val="22"/>
        </w:rPr>
        <w:t>for hormonal birth control</w:t>
      </w:r>
      <w:r w:rsidR="00CF7829">
        <w:rPr>
          <w:rFonts w:asciiTheme="minorHAnsi" w:hAnsiTheme="minorHAnsi" w:cstheme="minorHAnsi"/>
          <w:sz w:val="22"/>
          <w:szCs w:val="22"/>
        </w:rPr>
        <w:t>,</w:t>
      </w:r>
      <w:r w:rsidR="008B26D9">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B26D9">
        <w:rPr>
          <w:rFonts w:asciiTheme="minorHAnsi" w:hAnsiTheme="minorHAnsi" w:cstheme="minorHAnsi"/>
          <w:sz w:val="22"/>
          <w:szCs w:val="22"/>
        </w:rPr>
      </w:r>
      <w:r w:rsidR="008B26D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8B26D9">
        <w:rPr>
          <w:rFonts w:asciiTheme="minorHAnsi" w:hAnsiTheme="minorHAnsi" w:cstheme="minorHAnsi"/>
          <w:sz w:val="22"/>
          <w:szCs w:val="22"/>
        </w:rPr>
        <w:fldChar w:fldCharType="end"/>
      </w:r>
      <w:r w:rsidR="008B26D9">
        <w:rPr>
          <w:rFonts w:asciiTheme="minorHAnsi" w:hAnsiTheme="minorHAnsi" w:cstheme="minorHAnsi"/>
          <w:sz w:val="22"/>
          <w:szCs w:val="22"/>
        </w:rPr>
        <w:t xml:space="preserve"> </w:t>
      </w:r>
      <w:r w:rsidR="00CF7829">
        <w:rPr>
          <w:rFonts w:asciiTheme="minorHAnsi" w:hAnsiTheme="minorHAnsi" w:cstheme="minorHAnsi"/>
          <w:sz w:val="22"/>
          <w:szCs w:val="22"/>
        </w:rPr>
        <w:t>which</w:t>
      </w:r>
      <w:r w:rsidR="000420A2">
        <w:rPr>
          <w:rFonts w:asciiTheme="minorHAnsi" w:hAnsiTheme="minorHAnsi" w:cstheme="minorHAnsi"/>
          <w:sz w:val="22"/>
          <w:szCs w:val="22"/>
        </w:rPr>
        <w:t xml:space="preserve"> </w:t>
      </w:r>
      <w:r w:rsidR="007C2139">
        <w:rPr>
          <w:rFonts w:asciiTheme="minorHAnsi" w:hAnsiTheme="minorHAnsi" w:cstheme="minorHAnsi"/>
          <w:sz w:val="22"/>
          <w:szCs w:val="22"/>
        </w:rPr>
        <w:t xml:space="preserve">could be due to the </w:t>
      </w:r>
      <w:r w:rsidR="00B36A7A">
        <w:rPr>
          <w:rFonts w:asciiTheme="minorHAnsi" w:hAnsiTheme="minorHAnsi" w:cstheme="minorHAnsi"/>
          <w:sz w:val="22"/>
          <w:szCs w:val="22"/>
        </w:rPr>
        <w:t xml:space="preserve">variability in the duration of use and the </w:t>
      </w:r>
      <w:r w:rsidR="007C2139">
        <w:rPr>
          <w:rFonts w:asciiTheme="minorHAnsi" w:hAnsiTheme="minorHAnsi" w:cstheme="minorHAnsi"/>
          <w:sz w:val="22"/>
          <w:szCs w:val="22"/>
        </w:rPr>
        <w:t>evolving formulations of birth controls over the years</w:t>
      </w:r>
      <w:r w:rsidR="00032870">
        <w:rPr>
          <w:rFonts w:asciiTheme="minorHAnsi" w:hAnsiTheme="minorHAnsi" w:cstheme="minorHAnsi"/>
          <w:sz w:val="22"/>
          <w:szCs w:val="22"/>
        </w:rPr>
        <w:t>. I</w:t>
      </w:r>
      <w:r w:rsidR="00032870" w:rsidRPr="0057250A">
        <w:rPr>
          <w:rFonts w:asciiTheme="minorHAnsi" w:hAnsiTheme="minorHAnsi" w:cstheme="minorHAnsi"/>
          <w:sz w:val="22"/>
          <w:szCs w:val="22"/>
        </w:rPr>
        <w:t>n the Sister Study</w:t>
      </w:r>
      <w:r w:rsidR="00032870">
        <w:rPr>
          <w:rFonts w:asciiTheme="minorHAnsi" w:hAnsiTheme="minorHAnsi" w:cstheme="minorHAnsi"/>
          <w:sz w:val="22"/>
          <w:szCs w:val="22"/>
        </w:rPr>
        <w:t>,</w:t>
      </w:r>
      <w:r w:rsidR="00032870" w:rsidRPr="0057250A">
        <w:rPr>
          <w:rFonts w:asciiTheme="minorHAnsi" w:hAnsiTheme="minorHAnsi" w:cstheme="minorHAnsi"/>
          <w:sz w:val="22"/>
          <w:szCs w:val="22"/>
        </w:rPr>
        <w:t xml:space="preserve"> </w:t>
      </w:r>
      <w:r w:rsidRPr="0057250A">
        <w:rPr>
          <w:rFonts w:asciiTheme="minorHAnsi" w:hAnsiTheme="minorHAnsi" w:cstheme="minorHAnsi"/>
          <w:sz w:val="22"/>
          <w:szCs w:val="22"/>
        </w:rPr>
        <w:t xml:space="preserve">most individuals </w:t>
      </w:r>
      <w:r w:rsidR="00047F34">
        <w:rPr>
          <w:rFonts w:asciiTheme="minorHAnsi" w:hAnsiTheme="minorHAnsi" w:cstheme="minorHAnsi"/>
          <w:sz w:val="22"/>
          <w:szCs w:val="22"/>
        </w:rPr>
        <w:t xml:space="preserve">(99.4%) </w:t>
      </w:r>
      <w:r w:rsidRPr="0057250A">
        <w:rPr>
          <w:rFonts w:asciiTheme="minorHAnsi" w:hAnsiTheme="minorHAnsi" w:cstheme="minorHAnsi"/>
          <w:sz w:val="22"/>
          <w:szCs w:val="22"/>
        </w:rPr>
        <w:t xml:space="preserve">who </w:t>
      </w:r>
      <w:r w:rsidR="00DD3525">
        <w:rPr>
          <w:rFonts w:asciiTheme="minorHAnsi" w:hAnsiTheme="minorHAnsi" w:cstheme="minorHAnsi"/>
          <w:sz w:val="22"/>
          <w:szCs w:val="22"/>
        </w:rPr>
        <w:t>started</w:t>
      </w:r>
      <w:r w:rsidRPr="0057250A">
        <w:rPr>
          <w:rFonts w:asciiTheme="minorHAnsi" w:hAnsiTheme="minorHAnsi" w:cstheme="minorHAnsi"/>
          <w:sz w:val="22"/>
          <w:szCs w:val="22"/>
        </w:rPr>
        <w:t xml:space="preserve"> hormonal birth control before age 20 used </w:t>
      </w:r>
      <w:r w:rsidR="00C77A61" w:rsidRPr="00047F34">
        <w:rPr>
          <w:rFonts w:asciiTheme="minorHAnsi" w:hAnsiTheme="minorHAnsi" w:cstheme="minorHAnsi"/>
          <w:sz w:val="22"/>
          <w:szCs w:val="22"/>
        </w:rPr>
        <w:t>combined oral contraceptive</w:t>
      </w:r>
      <w:r w:rsidR="00574ADE">
        <w:rPr>
          <w:rFonts w:asciiTheme="minorHAnsi" w:hAnsiTheme="minorHAnsi" w:cstheme="minorHAnsi"/>
          <w:sz w:val="22"/>
          <w:szCs w:val="22"/>
        </w:rPr>
        <w:t xml:space="preserve">. </w:t>
      </w:r>
      <w:r w:rsidR="00574ADE" w:rsidRPr="00574ADE">
        <w:rPr>
          <w:rFonts w:asciiTheme="minorHAnsi" w:hAnsiTheme="minorHAnsi" w:cstheme="minorHAnsi"/>
          <w:sz w:val="22"/>
          <w:szCs w:val="22"/>
        </w:rPr>
        <w:t xml:space="preserve">These individuals were likely exposed to early formulations </w:t>
      </w:r>
      <w:r w:rsidR="009B74A6">
        <w:rPr>
          <w:rFonts w:asciiTheme="minorHAnsi" w:hAnsiTheme="minorHAnsi" w:cstheme="minorHAnsi"/>
          <w:sz w:val="22"/>
          <w:szCs w:val="22"/>
        </w:rPr>
        <w:t xml:space="preserve">in the 1960s </w:t>
      </w:r>
      <w:r w:rsidR="00574ADE">
        <w:rPr>
          <w:rFonts w:asciiTheme="minorHAnsi" w:hAnsiTheme="minorHAnsi" w:cstheme="minorHAnsi"/>
          <w:sz w:val="22"/>
          <w:szCs w:val="22"/>
        </w:rPr>
        <w:t>with</w:t>
      </w:r>
      <w:r w:rsidR="00574ADE" w:rsidRPr="00574ADE">
        <w:rPr>
          <w:rFonts w:asciiTheme="minorHAnsi" w:hAnsiTheme="minorHAnsi" w:cstheme="minorHAnsi"/>
          <w:sz w:val="22"/>
          <w:szCs w:val="22"/>
        </w:rPr>
        <w:t xml:space="preserve"> </w:t>
      </w:r>
      <w:r w:rsidR="00574ADE">
        <w:rPr>
          <w:rFonts w:asciiTheme="minorHAnsi" w:hAnsiTheme="minorHAnsi" w:cstheme="minorHAnsi"/>
          <w:sz w:val="22"/>
          <w:szCs w:val="22"/>
        </w:rPr>
        <w:t xml:space="preserve">high dose of estrogen </w:t>
      </w:r>
      <w:r w:rsidR="00574ADE" w:rsidRPr="00574ADE">
        <w:rPr>
          <w:rFonts w:asciiTheme="minorHAnsi" w:hAnsiTheme="minorHAnsi" w:cstheme="minorHAnsi"/>
          <w:sz w:val="22"/>
          <w:szCs w:val="22"/>
        </w:rPr>
        <w:t>up to 150</w:t>
      </w:r>
      <w:r w:rsidR="009B74A6">
        <w:rPr>
          <w:rFonts w:asciiTheme="minorHAnsi" w:hAnsiTheme="minorHAnsi" w:cstheme="minorHAnsi"/>
          <w:sz w:val="22"/>
          <w:szCs w:val="22"/>
        </w:rPr>
        <w:t> </w:t>
      </w:r>
      <w:r w:rsidR="00574ADE" w:rsidRPr="00574ADE">
        <w:rPr>
          <w:rFonts w:asciiTheme="minorHAnsi" w:hAnsiTheme="minorHAnsi" w:cstheme="minorHAnsi"/>
          <w:sz w:val="22"/>
          <w:szCs w:val="22"/>
        </w:rPr>
        <w:t>μg of mestranol,</w:t>
      </w:r>
      <w:r w:rsidR="009B74A6">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&lt;EndNote&gt;&lt;Cite&gt;&lt;Author&gt;Piper&lt;/Author&gt;&lt;Year&gt;1987&lt;/Year&gt;&lt;RecNum&gt;445&lt;/RecNum&gt;&lt;DisplayText&gt;&lt;style face="superscript"&gt;48&lt;/style&gt;&lt;/DisplayText&gt;&lt;record&gt;&lt;rec-number&gt;445&lt;/rec-number&gt;&lt;foreign-keys&gt;&lt;key app="EN" db-id="9eeeap9akwrsete9ft3xp2puxwwrw9ev5fd0" timestamp="1723667279"&gt;445&lt;/key&gt;&lt;/foreign-keys&gt;&lt;ref-type name="Journal Article"&gt;17&lt;/ref-type&gt;&lt;contributors&gt;&lt;authors&gt;&lt;author&gt;Piper, J. M.&lt;/author&gt;&lt;author&gt;Kennedy, D. L.&lt;/author&gt;&lt;/authors&gt;&lt;/contributors&gt;&lt;titles&gt;&lt;title&gt;Oral contraceptives in the United States: trends in content and potency&lt;/title&gt;&lt;secondary-title&gt;Int J Epidemiol&lt;/secondary-title&gt;&lt;/titles&gt;&lt;periodical&gt;&lt;full-title&gt;Int J Epidemiol&lt;/full-title&gt;&lt;abbr-1&gt;International journal of epidemiology&lt;/abbr-1&gt;&lt;/periodical&gt;&lt;pages&gt;215-21&lt;/pages&gt;&lt;volume&gt;16&lt;/volume&gt;&lt;number&gt;2&lt;/number&gt;&lt;keywords&gt;&lt;keyword&gt;Contraceptives, Oral/classification/*history&lt;/keyword&gt;&lt;keyword&gt;Contraceptives, Oral, Combined/history&lt;/keyword&gt;&lt;keyword&gt;Contraceptives, Oral, Hormonal/history&lt;/keyword&gt;&lt;keyword&gt;Contraceptives, Oral, Sequential/history&lt;/keyword&gt;&lt;keyword&gt;Ethinyl Estradiol/administration &amp;amp; dosage&lt;/keyword&gt;&lt;keyword&gt;Female&lt;/keyword&gt;&lt;keyword&gt;History, 20th Century&lt;/keyword&gt;&lt;keyword&gt;Humans&lt;/keyword&gt;&lt;keyword&gt;Mestranol/administration &amp;amp; dosage&lt;/keyword&gt;&lt;keyword&gt;United States&lt;/keyword&gt;&lt;/keywords&gt;&lt;dates&gt;&lt;year&gt;1987&lt;/year&gt;&lt;pub-dates&gt;&lt;date&gt;Jun&lt;/date&gt;&lt;/pub-dates&gt;&lt;/dates&gt;&lt;isbn&gt;0300-5771 (Print)&amp;#xD;0300-5771&lt;/isbn&gt;&lt;accession-num&gt;3301706&lt;/accession-num&gt;&lt;urls&gt;&lt;/urls&gt;&lt;electronic-resource-num&gt;10.1093/ije/16.2.215&lt;/electronic-resource-num&gt;&lt;remote-database-provider&gt;NLM&lt;/remote-database-provider&gt;&lt;language&gt;eng&lt;/language&gt;&lt;/record&gt;&lt;/Cite&gt;&lt;/EndNote&gt;</w:instrText>
      </w:r>
      <w:r w:rsidR="009B74A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48</w:t>
      </w:r>
      <w:r w:rsidR="009B74A6">
        <w:rPr>
          <w:rFonts w:asciiTheme="minorHAnsi" w:hAnsiTheme="minorHAnsi" w:cstheme="minorHAnsi"/>
          <w:sz w:val="22"/>
          <w:szCs w:val="22"/>
        </w:rPr>
        <w:fldChar w:fldCharType="end"/>
      </w:r>
      <w:r w:rsidR="00574ADE" w:rsidRPr="00574ADE">
        <w:rPr>
          <w:rFonts w:asciiTheme="minorHAnsi" w:hAnsiTheme="minorHAnsi" w:cstheme="minorHAnsi"/>
          <w:sz w:val="22"/>
          <w:szCs w:val="22"/>
        </w:rPr>
        <w:t xml:space="preserve"> compared to current formulations, which contain as </w:t>
      </w:r>
      <w:r w:rsidR="00574ADE">
        <w:rPr>
          <w:rFonts w:asciiTheme="minorHAnsi" w:hAnsiTheme="minorHAnsi" w:cstheme="minorHAnsi"/>
          <w:sz w:val="22"/>
          <w:szCs w:val="22"/>
        </w:rPr>
        <w:t>low</w:t>
      </w:r>
      <w:r w:rsidR="00574ADE" w:rsidRPr="00574ADE">
        <w:rPr>
          <w:rFonts w:asciiTheme="minorHAnsi" w:hAnsiTheme="minorHAnsi" w:cstheme="minorHAnsi"/>
          <w:sz w:val="22"/>
          <w:szCs w:val="22"/>
        </w:rPr>
        <w:t xml:space="preserve"> as 20 μg of ethinyl estradiol.</w:t>
      </w:r>
      <w:r w:rsidR="009B74A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OTwvc3R5bGU+PC9EaXNwbGF5VGV4dD48cmVjb3JkPjxyZWMtbnVtYmVyPjQ0NjwvcmVjLW51bWJl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OTwvc3R5bGU+PC9EaXNwbGF5VGV4dD48cmVjb3JkPjxyZWMtbnVtYmVyPjQ0NjwvcmVjLW51bWJl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9B74A6">
        <w:rPr>
          <w:rFonts w:asciiTheme="minorHAnsi" w:hAnsiTheme="minorHAnsi" w:cstheme="minorHAnsi"/>
          <w:sz w:val="22"/>
          <w:szCs w:val="22"/>
        </w:rPr>
      </w:r>
      <w:r w:rsidR="009B74A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49</w:t>
      </w:r>
      <w:r w:rsidR="009B74A6">
        <w:rPr>
          <w:rFonts w:asciiTheme="minorHAnsi" w:hAnsiTheme="minorHAnsi" w:cstheme="minorHAnsi"/>
          <w:sz w:val="22"/>
          <w:szCs w:val="22"/>
        </w:rPr>
        <w:fldChar w:fldCharType="end"/>
      </w:r>
      <w:r w:rsidR="00E479D4">
        <w:rPr>
          <w:rFonts w:asciiTheme="minorHAnsi" w:hAnsiTheme="minorHAnsi" w:cstheme="minorHAnsi"/>
          <w:sz w:val="22"/>
          <w:szCs w:val="22"/>
        </w:rPr>
        <w:t xml:space="preserve"> </w:t>
      </w:r>
      <w:r w:rsidR="00EB14A4" w:rsidRPr="00FA1740">
        <w:rPr>
          <w:rFonts w:asciiTheme="minorHAnsi" w:hAnsiTheme="minorHAnsi" w:cstheme="minorHAnsi"/>
          <w:sz w:val="22"/>
          <w:szCs w:val="22"/>
        </w:rPr>
        <w:t xml:space="preserve">Experimental studies have demonstrated that estrogen </w:t>
      </w:r>
      <w:r w:rsidR="00EB14A4">
        <w:rPr>
          <w:rFonts w:asciiTheme="minorHAnsi" w:hAnsiTheme="minorHAnsi" w:cstheme="minorHAnsi"/>
          <w:sz w:val="22"/>
          <w:szCs w:val="22"/>
        </w:rPr>
        <w:t xml:space="preserve">not only </w:t>
      </w:r>
      <w:r w:rsidR="00EB14A4" w:rsidRPr="00FA1740">
        <w:rPr>
          <w:rFonts w:asciiTheme="minorHAnsi" w:hAnsiTheme="minorHAnsi" w:cstheme="minorHAnsi"/>
          <w:sz w:val="22"/>
          <w:szCs w:val="22"/>
        </w:rPr>
        <w:t>directly stimulates growth in both benign and malignant thyroid cells</w:t>
      </w:r>
      <w:r w:rsidR="00EB14A4">
        <w:rPr>
          <w:rFonts w:asciiTheme="minorHAnsi" w:hAnsiTheme="minorHAnsi" w:cstheme="minorHAnsi"/>
          <w:sz w:val="22"/>
          <w:szCs w:val="22"/>
        </w:rPr>
        <w:t>, but potentially</w:t>
      </w:r>
      <w:r w:rsidR="00EB14A4" w:rsidRPr="00FA1740">
        <w:rPr>
          <w:rFonts w:asciiTheme="minorHAnsi" w:hAnsiTheme="minorHAnsi" w:cstheme="minorHAnsi"/>
          <w:sz w:val="22"/>
          <w:szCs w:val="22"/>
        </w:rPr>
        <w:t xml:space="preserve"> simulate</w:t>
      </w:r>
      <w:r w:rsidR="00EB14A4">
        <w:rPr>
          <w:rFonts w:asciiTheme="minorHAnsi" w:hAnsiTheme="minorHAnsi" w:cstheme="minorHAnsi"/>
          <w:sz w:val="22"/>
          <w:szCs w:val="22"/>
        </w:rPr>
        <w:t>s</w:t>
      </w:r>
      <w:r w:rsidR="00EB14A4" w:rsidRPr="00FA1740">
        <w:rPr>
          <w:rFonts w:asciiTheme="minorHAnsi" w:hAnsiTheme="minorHAnsi" w:cstheme="minorHAnsi"/>
          <w:sz w:val="22"/>
          <w:szCs w:val="22"/>
        </w:rPr>
        <w:t xml:space="preserve"> the tyrosine kinase signaling pathways MAPK and PI3K and plays a role in angiogenesis regulation for thyroid cancer.</w:t>
      </w:r>
      <w:r w:rsidR="00EB14A4">
        <w:rPr>
          <w:rFonts w:asciiTheme="minorHAnsi" w:hAnsiTheme="minorHAnsi" w:cstheme="minorHAnsi"/>
          <w:sz w:val="22"/>
          <w:szCs w:val="22"/>
        </w:rPr>
        <w:fldChar w:fldCharType="begin"/>
      </w:r>
      <w:r w:rsidR="00EB14A4">
        <w:rPr>
          <w:rFonts w:asciiTheme="minorHAnsi" w:hAnsiTheme="minorHAnsi" w:cstheme="minorHAnsi"/>
          <w:sz w:val="22"/>
          <w:szCs w:val="22"/>
        </w:rPr>
        <w:instrText xml:space="preserve"> ADDIN EN.CITE &lt;EndNote&gt;&lt;Cite&gt;&lt;Author&gt;Derwahl&lt;/Author&gt;&lt;Year&gt;2014&lt;/Year&gt;&lt;RecNum&gt;419&lt;/RecNum&gt;&lt;DisplayText&gt;&lt;style face="superscript"&gt;12&lt;/style&gt;&lt;/DisplayText&gt;&lt;record&gt;&lt;rec-number&gt;419&lt;/rec-number&gt;&lt;foreign-keys&gt;&lt;key app="EN" db-id="9eeeap9akwrsete9ft3xp2puxwwrw9ev5fd0" timestamp="1722870739"&gt;419&lt;/key&gt;&lt;/foreign-keys&gt;&lt;ref-type name="Journal Article"&gt;17&lt;/ref-type&gt;&lt;contributors&gt;&lt;authors&gt;&lt;author&gt;Derwahl, M.&lt;/author&gt;&lt;author&gt;Nicula, D.&lt;/author&gt;&lt;/authors&gt;&lt;/contributors&gt;&lt;auth-address&gt;Department of MedicineSt Hedwig Hospital and Charite, University Medicine Berlin, Grosse Hamburger Straße 5-11, 10115 Berlin, Germany m.derwahl@alexius.de m.derwahl@gmx.de.&amp;#xD;Department of MedicineSt Hedwig Hospital and Charite, University Medicine Berlin, Grosse Hamburger Straße 5-11, 10115 Berlin, Germany.&lt;/auth-address&gt;&lt;titles&gt;&lt;title&gt;Estrogen and its role in thyroid cancer&lt;/title&gt;&lt;secondary-title&gt;Endocr Relat Cancer&lt;/secondary-title&gt;&lt;/titles&gt;&lt;periodical&gt;&lt;full-title&gt;Endocr Relat Cancer&lt;/full-title&gt;&lt;abbr-1&gt;Endocrine-related cancer&lt;/abbr-1&gt;&lt;/periodical&gt;&lt;pages&gt;T273-83&lt;/pages&gt;&lt;volume&gt;21&lt;/volume&gt;&lt;number&gt;5&lt;/number&gt;&lt;edition&gt;20140722&lt;/edition&gt;&lt;keywords&gt;&lt;keyword&gt;Animals&lt;/keyword&gt;&lt;keyword&gt;Estrogens/*metabolism&lt;/keyword&gt;&lt;keyword&gt;Humans&lt;/keyword&gt;&lt;keyword&gt;Receptors, Estrogen/metabolism&lt;/keyword&gt;&lt;keyword&gt;Thyroid Gland/cytology/metabolism&lt;/keyword&gt;&lt;keyword&gt;Thyroid Neoplasms/*metabolism&lt;/keyword&gt;&lt;keyword&gt;cell signaling&lt;/keyword&gt;&lt;keyword&gt;estrogen&lt;/keyword&gt;&lt;keyword&gt;growth factor receptor&lt;/keyword&gt;&lt;keyword&gt;neoplasia&lt;/keyword&gt;&lt;keyword&gt;thyroid&lt;/keyword&gt;&lt;/keywords&gt;&lt;dates&gt;&lt;year&gt;2014&lt;/year&gt;&lt;pub-dates&gt;&lt;date&gt;Oct&lt;/date&gt;&lt;/pub-dates&gt;&lt;/dates&gt;&lt;isbn&gt;1351-0088&lt;/isbn&gt;&lt;accession-num&gt;25052473&lt;/accession-num&gt;&lt;urls&gt;&lt;/urls&gt;&lt;electronic-resource-num&gt;10.1530/erc-14-0053&lt;/electronic-resource-num&gt;&lt;remote-database-provider&gt;NLM&lt;/remote-database-provider&gt;&lt;language&gt;eng&lt;/language&gt;&lt;/record&gt;&lt;/Cite&gt;&lt;/EndNote&gt;</w:instrText>
      </w:r>
      <w:r w:rsidR="00EB14A4">
        <w:rPr>
          <w:rFonts w:asciiTheme="minorHAnsi" w:hAnsiTheme="minorHAnsi" w:cstheme="minorHAnsi"/>
          <w:sz w:val="22"/>
          <w:szCs w:val="22"/>
        </w:rPr>
        <w:fldChar w:fldCharType="separate"/>
      </w:r>
      <w:r w:rsidR="00EB14A4" w:rsidRPr="00BF42BE">
        <w:rPr>
          <w:rFonts w:asciiTheme="minorHAnsi" w:hAnsiTheme="minorHAnsi" w:cstheme="minorHAnsi"/>
          <w:noProof/>
          <w:sz w:val="22"/>
          <w:szCs w:val="22"/>
          <w:vertAlign w:val="superscript"/>
        </w:rPr>
        <w:t>12</w:t>
      </w:r>
      <w:r w:rsidR="00EB14A4">
        <w:rPr>
          <w:rFonts w:asciiTheme="minorHAnsi" w:hAnsiTheme="minorHAnsi" w:cstheme="minorHAnsi"/>
          <w:sz w:val="22"/>
          <w:szCs w:val="22"/>
        </w:rPr>
        <w:fldChar w:fldCharType="end"/>
      </w:r>
    </w:p>
    <w:p w14:paraId="2A8CC9C5" w14:textId="7F5306D5" w:rsidR="008C37FB" w:rsidRPr="008C37FB" w:rsidRDefault="008C37FB" w:rsidP="00E60E14">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Strengths of this study include the large sample size, long follow-up, and wide range of childhood and adolescent exposures. </w:t>
      </w:r>
      <w:r w:rsidR="00E60E14">
        <w:rPr>
          <w:rFonts w:asciiTheme="minorHAnsi" w:hAnsiTheme="minorHAnsi" w:cstheme="minorHAnsi"/>
          <w:sz w:val="22"/>
          <w:szCs w:val="22"/>
        </w:rPr>
        <w:t>T</w:t>
      </w:r>
      <w:r w:rsidRPr="008C37FB">
        <w:rPr>
          <w:rFonts w:asciiTheme="minorHAnsi" w:hAnsiTheme="minorHAnsi" w:cstheme="minorHAnsi"/>
          <w:sz w:val="22"/>
          <w:szCs w:val="22"/>
        </w:rPr>
        <w:t xml:space="preserve">he current study </w:t>
      </w:r>
      <w:r w:rsidR="00E60E14">
        <w:rPr>
          <w:rFonts w:asciiTheme="minorHAnsi" w:hAnsiTheme="minorHAnsi" w:cstheme="minorHAnsi"/>
          <w:sz w:val="22"/>
          <w:szCs w:val="22"/>
        </w:rPr>
        <w:t xml:space="preserve">also </w:t>
      </w:r>
      <w:r w:rsidRPr="008C37FB">
        <w:rPr>
          <w:rFonts w:asciiTheme="minorHAnsi" w:hAnsiTheme="minorHAnsi" w:cstheme="minorHAnsi"/>
          <w:sz w:val="22"/>
          <w:szCs w:val="22"/>
        </w:rPr>
        <w:t xml:space="preserve">has several limitations. </w:t>
      </w:r>
      <w:r w:rsidR="00E60E14">
        <w:rPr>
          <w:rFonts w:asciiTheme="minorHAnsi" w:hAnsiTheme="minorHAnsi" w:cstheme="minorHAnsi"/>
          <w:sz w:val="22"/>
          <w:szCs w:val="22"/>
        </w:rPr>
        <w:t>First, a</w:t>
      </w:r>
      <w:r w:rsidRPr="008C37FB">
        <w:rPr>
          <w:rFonts w:asciiTheme="minorHAnsi" w:hAnsiTheme="minorHAnsi" w:cstheme="minorHAnsi"/>
          <w:sz w:val="22"/>
          <w:szCs w:val="22"/>
        </w:rPr>
        <w:t xml:space="preserve">s the Sister Study enrolled women </w:t>
      </w:r>
      <w:r w:rsidR="00AD566A">
        <w:rPr>
          <w:rFonts w:asciiTheme="minorHAnsi" w:hAnsiTheme="minorHAnsi" w:cstheme="minorHAnsi"/>
          <w:sz w:val="22"/>
          <w:szCs w:val="22"/>
        </w:rPr>
        <w:t>having</w:t>
      </w:r>
      <w:r w:rsidR="00AD566A" w:rsidRPr="008C37FB">
        <w:rPr>
          <w:rFonts w:asciiTheme="minorHAnsi" w:hAnsiTheme="minorHAnsi" w:cstheme="minorHAnsi"/>
          <w:sz w:val="22"/>
          <w:szCs w:val="22"/>
        </w:rPr>
        <w:t xml:space="preserve"> </w:t>
      </w:r>
      <w:r w:rsidRPr="008C37FB">
        <w:rPr>
          <w:rFonts w:asciiTheme="minorHAnsi" w:hAnsiTheme="minorHAnsi" w:cstheme="minorHAnsi"/>
          <w:sz w:val="22"/>
          <w:szCs w:val="22"/>
        </w:rPr>
        <w:t>a sister diagnosed with breast cancer, the results may not be generalizable to men or women without a family history of breast cancer</w:t>
      </w:r>
      <w:r w:rsidR="00E206CE">
        <w:rPr>
          <w:rFonts w:asciiTheme="minorHAnsi" w:hAnsiTheme="minorHAnsi" w:cstheme="minorHAnsi"/>
          <w:sz w:val="22"/>
          <w:szCs w:val="22"/>
        </w:rPr>
        <w:t>. However,</w:t>
      </w:r>
      <w:r w:rsidR="000D3093">
        <w:rPr>
          <w:rFonts w:asciiTheme="minorHAnsi" w:hAnsiTheme="minorHAnsi" w:cstheme="minorHAnsi"/>
          <w:sz w:val="22"/>
          <w:szCs w:val="22"/>
        </w:rPr>
        <w:t xml:space="preserve"> there is limited</w:t>
      </w:r>
      <w:r w:rsidR="000D3093" w:rsidRPr="000D3093">
        <w:rPr>
          <w:rFonts w:asciiTheme="minorHAnsi" w:hAnsiTheme="minorHAnsi" w:cstheme="minorHAnsi"/>
          <w:sz w:val="22"/>
          <w:szCs w:val="22"/>
        </w:rPr>
        <w:t xml:space="preserve"> evidence </w:t>
      </w:r>
      <w:r w:rsidR="00BF44A8" w:rsidRPr="00BF44A8">
        <w:rPr>
          <w:rFonts w:asciiTheme="minorHAnsi" w:hAnsiTheme="minorHAnsi" w:cstheme="minorHAnsi"/>
          <w:sz w:val="22"/>
          <w:szCs w:val="22"/>
        </w:rPr>
        <w:t xml:space="preserve">to suggest that </w:t>
      </w:r>
      <w:r w:rsidR="000D3093" w:rsidRPr="000D3093">
        <w:rPr>
          <w:rFonts w:asciiTheme="minorHAnsi" w:hAnsiTheme="minorHAnsi" w:cstheme="minorHAnsi"/>
          <w:sz w:val="22"/>
          <w:szCs w:val="22"/>
        </w:rPr>
        <w:t xml:space="preserve">family </w:t>
      </w:r>
      <w:r w:rsidR="00E206CE">
        <w:rPr>
          <w:rFonts w:asciiTheme="minorHAnsi" w:hAnsiTheme="minorHAnsi" w:cstheme="minorHAnsi"/>
          <w:sz w:val="22"/>
          <w:szCs w:val="22"/>
        </w:rPr>
        <w:t>history</w:t>
      </w:r>
      <w:r w:rsidR="000D3093" w:rsidRPr="000D3093">
        <w:rPr>
          <w:rFonts w:asciiTheme="minorHAnsi" w:hAnsiTheme="minorHAnsi" w:cstheme="minorHAnsi"/>
          <w:sz w:val="22"/>
          <w:szCs w:val="22"/>
        </w:rPr>
        <w:t xml:space="preserve"> of breast cancer </w:t>
      </w:r>
      <w:r w:rsidR="00BF44A8">
        <w:rPr>
          <w:rFonts w:asciiTheme="minorHAnsi" w:hAnsiTheme="minorHAnsi" w:cstheme="minorHAnsi"/>
          <w:sz w:val="22"/>
          <w:szCs w:val="22"/>
        </w:rPr>
        <w:t>influences</w:t>
      </w:r>
      <w:r w:rsidR="000D3093" w:rsidRPr="000D3093">
        <w:rPr>
          <w:rFonts w:asciiTheme="minorHAnsi" w:hAnsiTheme="minorHAnsi" w:cstheme="minorHAnsi"/>
          <w:sz w:val="22"/>
          <w:szCs w:val="22"/>
        </w:rPr>
        <w:t xml:space="preserve"> thyroid cancer</w:t>
      </w:r>
      <w:r w:rsidR="00E206CE">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w:t>
      </w:r>
      <w:r w:rsidR="00E60E14">
        <w:rPr>
          <w:rFonts w:asciiTheme="minorHAnsi" w:hAnsiTheme="minorHAnsi" w:cstheme="minorHAnsi"/>
          <w:sz w:val="22"/>
          <w:szCs w:val="22"/>
        </w:rPr>
        <w:t xml:space="preserve">Second, </w:t>
      </w:r>
      <w:r w:rsidR="00AD566A">
        <w:rPr>
          <w:rFonts w:asciiTheme="minorHAnsi" w:hAnsiTheme="minorHAnsi" w:cstheme="minorHAnsi"/>
          <w:sz w:val="22"/>
          <w:szCs w:val="22"/>
        </w:rPr>
        <w:t>the analysis excluded</w:t>
      </w:r>
      <w:r w:rsidR="00C33A01">
        <w:rPr>
          <w:rFonts w:asciiTheme="minorHAnsi" w:hAnsiTheme="minorHAnsi" w:cstheme="minorHAnsi"/>
          <w:sz w:val="22"/>
          <w:szCs w:val="22"/>
        </w:rPr>
        <w:t xml:space="preserve"> </w:t>
      </w:r>
      <w:r w:rsidR="00E35ADF">
        <w:rPr>
          <w:rFonts w:asciiTheme="minorHAnsi" w:hAnsiTheme="minorHAnsi" w:cstheme="minorHAnsi"/>
          <w:sz w:val="22"/>
          <w:szCs w:val="22"/>
        </w:rPr>
        <w:t xml:space="preserve">women </w:t>
      </w:r>
      <w:r w:rsidR="00AD566A">
        <w:rPr>
          <w:rFonts w:asciiTheme="minorHAnsi" w:hAnsiTheme="minorHAnsi" w:cstheme="minorHAnsi"/>
          <w:sz w:val="22"/>
          <w:szCs w:val="22"/>
        </w:rPr>
        <w:t>with a baseline history of</w:t>
      </w:r>
      <w:r w:rsidR="00E35ADF">
        <w:rPr>
          <w:rFonts w:asciiTheme="minorHAnsi" w:hAnsiTheme="minorHAnsi" w:cstheme="minorHAnsi"/>
          <w:sz w:val="22"/>
          <w:szCs w:val="22"/>
        </w:rPr>
        <w:t xml:space="preserve"> </w:t>
      </w:r>
      <w:r w:rsidR="00A0127B">
        <w:rPr>
          <w:rFonts w:asciiTheme="minorHAnsi" w:hAnsiTheme="minorHAnsi" w:cstheme="minorHAnsi"/>
          <w:sz w:val="22"/>
          <w:szCs w:val="22"/>
        </w:rPr>
        <w:t>DTC</w:t>
      </w:r>
      <w:r w:rsidR="00031EF9">
        <w:rPr>
          <w:rFonts w:asciiTheme="minorHAnsi" w:hAnsiTheme="minorHAnsi" w:cstheme="minorHAnsi"/>
          <w:sz w:val="22"/>
          <w:szCs w:val="22"/>
        </w:rPr>
        <w:t xml:space="preserve">, which could potentially lead to missing </w:t>
      </w:r>
      <w:r w:rsidR="004137C6">
        <w:rPr>
          <w:rFonts w:asciiTheme="minorHAnsi" w:hAnsiTheme="minorHAnsi" w:cstheme="minorHAnsi"/>
          <w:sz w:val="22"/>
          <w:szCs w:val="22"/>
        </w:rPr>
        <w:t>associations for early-onset DTC</w:t>
      </w:r>
      <w:r w:rsidR="00E871AC">
        <w:rPr>
          <w:rFonts w:asciiTheme="minorHAnsi" w:hAnsiTheme="minorHAnsi" w:cstheme="minorHAnsi"/>
          <w:sz w:val="22"/>
          <w:szCs w:val="22"/>
        </w:rPr>
        <w:t xml:space="preserve">. However, </w:t>
      </w:r>
      <w:r w:rsidR="004137C6">
        <w:rPr>
          <w:rFonts w:asciiTheme="minorHAnsi" w:hAnsiTheme="minorHAnsi" w:cstheme="minorHAnsi"/>
          <w:sz w:val="22"/>
          <w:szCs w:val="22"/>
        </w:rPr>
        <w:t xml:space="preserve">most associations </w:t>
      </w:r>
      <w:r w:rsidR="00AD566A">
        <w:rPr>
          <w:rFonts w:asciiTheme="minorHAnsi" w:hAnsiTheme="minorHAnsi" w:cstheme="minorHAnsi"/>
          <w:sz w:val="22"/>
          <w:szCs w:val="22"/>
        </w:rPr>
        <w:t>were similar for</w:t>
      </w:r>
      <w:r w:rsidR="004137C6">
        <w:rPr>
          <w:rFonts w:asciiTheme="minorHAnsi" w:hAnsiTheme="minorHAnsi" w:cstheme="minorHAnsi"/>
          <w:sz w:val="22"/>
          <w:szCs w:val="22"/>
        </w:rPr>
        <w:t xml:space="preserve"> early- </w:t>
      </w:r>
      <w:r w:rsidR="00AD566A">
        <w:rPr>
          <w:rFonts w:asciiTheme="minorHAnsi" w:hAnsiTheme="minorHAnsi" w:cstheme="minorHAnsi"/>
          <w:sz w:val="22"/>
          <w:szCs w:val="22"/>
        </w:rPr>
        <w:t>versus</w:t>
      </w:r>
      <w:r w:rsidR="004137C6">
        <w:rPr>
          <w:rFonts w:asciiTheme="minorHAnsi" w:hAnsiTheme="minorHAnsi" w:cstheme="minorHAnsi"/>
          <w:sz w:val="22"/>
          <w:szCs w:val="22"/>
        </w:rPr>
        <w:t xml:space="preserve"> late-onset </w:t>
      </w:r>
      <w:r w:rsidR="00AD566A">
        <w:rPr>
          <w:rFonts w:asciiTheme="minorHAnsi" w:hAnsiTheme="minorHAnsi" w:cstheme="minorHAnsi"/>
          <w:sz w:val="22"/>
          <w:szCs w:val="22"/>
        </w:rPr>
        <w:t xml:space="preserve">DTCs, and the </w:t>
      </w:r>
      <w:r w:rsidR="007A52F9">
        <w:rPr>
          <w:rFonts w:asciiTheme="minorHAnsi" w:hAnsiTheme="minorHAnsi" w:cstheme="minorHAnsi"/>
          <w:sz w:val="22"/>
          <w:szCs w:val="22"/>
        </w:rPr>
        <w:t xml:space="preserve">age at baseline </w:t>
      </w:r>
      <w:r w:rsidR="00382AAC">
        <w:rPr>
          <w:rFonts w:asciiTheme="minorHAnsi" w:hAnsiTheme="minorHAnsi" w:cstheme="minorHAnsi"/>
          <w:sz w:val="22"/>
          <w:szCs w:val="22"/>
        </w:rPr>
        <w:t xml:space="preserve">of </w:t>
      </w:r>
      <w:r w:rsidR="00C375F2">
        <w:rPr>
          <w:rFonts w:asciiTheme="minorHAnsi" w:hAnsiTheme="minorHAnsi" w:cstheme="minorHAnsi"/>
          <w:sz w:val="22"/>
          <w:szCs w:val="22"/>
        </w:rPr>
        <w:t>the study population (</w:t>
      </w:r>
      <w:r w:rsidR="00374BBF">
        <w:rPr>
          <w:rFonts w:asciiTheme="minorHAnsi" w:hAnsiTheme="minorHAnsi" w:cstheme="minorHAnsi"/>
          <w:sz w:val="22"/>
          <w:szCs w:val="22"/>
        </w:rPr>
        <w:t xml:space="preserve">median [interquartile range]: </w:t>
      </w:r>
      <w:r w:rsidR="00374BBF" w:rsidRPr="00374BBF">
        <w:rPr>
          <w:rFonts w:asciiTheme="minorHAnsi" w:hAnsiTheme="minorHAnsi" w:cstheme="minorHAnsi"/>
          <w:sz w:val="22"/>
          <w:szCs w:val="22"/>
        </w:rPr>
        <w:t xml:space="preserve">55.4 </w:t>
      </w:r>
      <w:r w:rsidR="00374BBF">
        <w:rPr>
          <w:rFonts w:asciiTheme="minorHAnsi" w:hAnsiTheme="minorHAnsi" w:cstheme="minorHAnsi"/>
          <w:sz w:val="22"/>
          <w:szCs w:val="22"/>
        </w:rPr>
        <w:t>[</w:t>
      </w:r>
      <w:r w:rsidR="00374BBF" w:rsidRPr="00374BBF">
        <w:rPr>
          <w:rFonts w:asciiTheme="minorHAnsi" w:hAnsiTheme="minorHAnsi" w:cstheme="minorHAnsi"/>
          <w:sz w:val="22"/>
          <w:szCs w:val="22"/>
        </w:rPr>
        <w:t>48.9, 62.1</w:t>
      </w:r>
      <w:r w:rsidR="00374BBF">
        <w:rPr>
          <w:rFonts w:asciiTheme="minorHAnsi" w:hAnsiTheme="minorHAnsi" w:cstheme="minorHAnsi"/>
          <w:sz w:val="22"/>
          <w:szCs w:val="22"/>
        </w:rPr>
        <w:t>])</w:t>
      </w:r>
      <w:r w:rsidR="00DC61FA">
        <w:rPr>
          <w:rFonts w:asciiTheme="minorHAnsi" w:hAnsiTheme="minorHAnsi" w:cstheme="minorHAnsi"/>
          <w:sz w:val="22"/>
          <w:szCs w:val="22"/>
        </w:rPr>
        <w:t xml:space="preserve"> </w:t>
      </w:r>
      <w:r w:rsidR="00AD566A">
        <w:rPr>
          <w:rFonts w:asciiTheme="minorHAnsi" w:hAnsiTheme="minorHAnsi" w:cstheme="minorHAnsi"/>
          <w:sz w:val="22"/>
          <w:szCs w:val="22"/>
        </w:rPr>
        <w:t>corresponded to the peak of the age-at-diagnosis curve for DTC incidence</w:t>
      </w:r>
      <w:r w:rsidR="006F2A57">
        <w:rPr>
          <w:rFonts w:asciiTheme="minorHAnsi" w:hAnsiTheme="minorHAnsi" w:cstheme="minorHAnsi"/>
          <w:sz w:val="22"/>
          <w:szCs w:val="22"/>
        </w:rPr>
        <w:t>.</w:t>
      </w:r>
      <w:r w:rsidR="000A5238">
        <w:rPr>
          <w:rFonts w:asciiTheme="minorHAnsi" w:hAnsiTheme="minorHAnsi" w:cstheme="minorHAnsi"/>
          <w:sz w:val="22"/>
          <w:szCs w:val="22"/>
        </w:rPr>
        <w:fldChar w:fldCharType="begin"/>
      </w:r>
      <w:r w:rsidR="00885D3C">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0A5238">
        <w:rPr>
          <w:rFonts w:asciiTheme="minorHAnsi" w:hAnsiTheme="minorHAnsi" w:cstheme="minorHAnsi"/>
          <w:sz w:val="22"/>
          <w:szCs w:val="22"/>
        </w:rPr>
        <w:fldChar w:fldCharType="separate"/>
      </w:r>
      <w:r w:rsidR="00885D3C" w:rsidRPr="00885D3C">
        <w:rPr>
          <w:rFonts w:asciiTheme="minorHAnsi" w:hAnsiTheme="minorHAnsi" w:cstheme="minorHAnsi"/>
          <w:noProof/>
          <w:sz w:val="22"/>
          <w:szCs w:val="22"/>
          <w:vertAlign w:val="superscript"/>
        </w:rPr>
        <w:t>5</w:t>
      </w:r>
      <w:r w:rsidR="000A5238">
        <w:rPr>
          <w:rFonts w:asciiTheme="minorHAnsi" w:hAnsiTheme="minorHAnsi" w:cstheme="minorHAnsi"/>
          <w:sz w:val="22"/>
          <w:szCs w:val="22"/>
        </w:rPr>
        <w:fldChar w:fldCharType="end"/>
      </w:r>
      <w:r w:rsidR="006F2A57">
        <w:rPr>
          <w:rFonts w:asciiTheme="minorHAnsi" w:hAnsiTheme="minorHAnsi" w:cstheme="minorHAnsi"/>
          <w:sz w:val="22"/>
          <w:szCs w:val="22"/>
        </w:rPr>
        <w:t xml:space="preserve"> </w:t>
      </w:r>
      <w:r w:rsidR="004137C6">
        <w:rPr>
          <w:rFonts w:asciiTheme="minorHAnsi" w:hAnsiTheme="minorHAnsi" w:cstheme="minorHAnsi"/>
          <w:sz w:val="22"/>
          <w:szCs w:val="22"/>
        </w:rPr>
        <w:t xml:space="preserve">Third, </w:t>
      </w:r>
      <w:r w:rsidR="00AD566A">
        <w:rPr>
          <w:rFonts w:asciiTheme="minorHAnsi" w:hAnsiTheme="minorHAnsi" w:cstheme="minorHAnsi"/>
          <w:sz w:val="22"/>
          <w:szCs w:val="22"/>
        </w:rPr>
        <w:t xml:space="preserve">as childhood and adolescence for most study subjects occurred between the </w:t>
      </w:r>
      <w:r w:rsidRPr="008C37FB">
        <w:rPr>
          <w:rFonts w:asciiTheme="minorHAnsi" w:hAnsiTheme="minorHAnsi" w:cstheme="minorHAnsi"/>
          <w:sz w:val="22"/>
          <w:szCs w:val="22"/>
        </w:rPr>
        <w:t xml:space="preserve">1930s and 1970s, </w:t>
      </w:r>
      <w:r w:rsidR="00AD566A">
        <w:rPr>
          <w:rFonts w:asciiTheme="minorHAnsi" w:hAnsiTheme="minorHAnsi" w:cstheme="minorHAnsi"/>
          <w:sz w:val="22"/>
          <w:szCs w:val="22"/>
        </w:rPr>
        <w:t xml:space="preserve">some of our results </w:t>
      </w:r>
      <w:r w:rsidRPr="008C37FB">
        <w:rPr>
          <w:rFonts w:asciiTheme="minorHAnsi" w:hAnsiTheme="minorHAnsi" w:cstheme="minorHAnsi"/>
          <w:sz w:val="22"/>
          <w:szCs w:val="22"/>
        </w:rPr>
        <w:t xml:space="preserve">may not </w:t>
      </w:r>
      <w:r w:rsidR="000646F9">
        <w:rPr>
          <w:rFonts w:asciiTheme="minorHAnsi" w:hAnsiTheme="minorHAnsi" w:cstheme="minorHAnsi"/>
          <w:sz w:val="22"/>
          <w:szCs w:val="22"/>
        </w:rPr>
        <w:t>be generalizable to modern-day populations</w:t>
      </w:r>
      <w:r w:rsidR="00AD566A">
        <w:rPr>
          <w:rFonts w:asciiTheme="minorHAnsi" w:hAnsiTheme="minorHAnsi" w:cstheme="minorHAnsi"/>
          <w:sz w:val="22"/>
          <w:szCs w:val="22"/>
        </w:rPr>
        <w:t xml:space="preserve">. </w:t>
      </w:r>
      <w:r w:rsidRPr="008C37FB">
        <w:rPr>
          <w:rFonts w:asciiTheme="minorHAnsi" w:hAnsiTheme="minorHAnsi" w:cstheme="minorHAnsi"/>
          <w:sz w:val="22"/>
          <w:szCs w:val="22"/>
        </w:rPr>
        <w:t xml:space="preserve">For example, obesogenic diet, lifestyle, and environmental factors </w:t>
      </w:r>
      <w:r w:rsidRPr="008C37FB">
        <w:rPr>
          <w:rFonts w:asciiTheme="minorHAnsi" w:hAnsiTheme="minorHAnsi" w:cstheme="minorHAnsi"/>
          <w:sz w:val="22"/>
          <w:szCs w:val="22"/>
        </w:rPr>
        <w:lastRenderedPageBreak/>
        <w:t xml:space="preserve">have become more commonplace since the </w:t>
      </w:r>
      <w:r w:rsidR="00294FE9">
        <w:rPr>
          <w:rFonts w:asciiTheme="minorHAnsi" w:hAnsiTheme="minorHAnsi" w:cstheme="minorHAnsi"/>
          <w:sz w:val="22"/>
          <w:szCs w:val="22"/>
        </w:rPr>
        <w:t xml:space="preserve">late </w:t>
      </w:r>
      <w:r w:rsidRPr="008C37FB">
        <w:rPr>
          <w:rFonts w:asciiTheme="minorHAnsi" w:hAnsiTheme="minorHAnsi" w:cstheme="minorHAnsi"/>
          <w:sz w:val="22"/>
          <w:szCs w:val="22"/>
        </w:rPr>
        <w:t>19</w:t>
      </w:r>
      <w:r w:rsidR="00294FE9">
        <w:rPr>
          <w:rFonts w:asciiTheme="minorHAnsi" w:hAnsiTheme="minorHAnsi" w:cstheme="minorHAnsi"/>
          <w:sz w:val="22"/>
          <w:szCs w:val="22"/>
        </w:rPr>
        <w:t>7</w:t>
      </w:r>
      <w:r w:rsidRPr="008C37FB">
        <w:rPr>
          <w:rFonts w:asciiTheme="minorHAnsi" w:hAnsiTheme="minorHAnsi" w:cstheme="minorHAnsi"/>
          <w:sz w:val="22"/>
          <w:szCs w:val="22"/>
        </w:rPr>
        <w:t>0s</w:t>
      </w:r>
      <w:r w:rsidR="00AD566A">
        <w:rPr>
          <w:rFonts w:asciiTheme="minorHAnsi" w:hAnsiTheme="minorHAnsi" w:cstheme="minorHAnsi"/>
          <w:sz w:val="22"/>
          <w:szCs w:val="22"/>
        </w:rPr>
        <w:t>, particularly in the United States</w:t>
      </w:r>
      <w:r w:rsidRPr="008C37FB">
        <w:rPr>
          <w:rFonts w:asciiTheme="minorHAnsi" w:hAnsiTheme="minorHAnsi" w:cstheme="minorHAnsi"/>
          <w:sz w:val="22"/>
          <w:szCs w:val="22"/>
        </w:rPr>
        <w:t>.</w:t>
      </w:r>
      <w:r w:rsidR="00926280">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bT48RGlzcGxheVRleHQ+PHN0eWxlIGZhY2U9InN1cGVyc2NyaXB0Ij41MCw1MTwvc3R5bGU+PC9E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885D3C">
        <w:rPr>
          <w:rFonts w:asciiTheme="minorHAnsi" w:hAnsiTheme="minorHAnsi" w:cstheme="minorHAnsi"/>
          <w:sz w:val="22"/>
          <w:szCs w:val="22"/>
        </w:rPr>
        <w:instrText xml:space="preserve"> ADDIN EN.CITE </w:instrText>
      </w:r>
      <w:r w:rsidR="00885D3C">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bT48RGlzcGxheVRleHQ+PHN0eWxlIGZhY2U9InN1cGVyc2NyaXB0Ij41MCw1MTwvc3R5bGU+PC9E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885D3C">
        <w:rPr>
          <w:rFonts w:asciiTheme="minorHAnsi" w:hAnsiTheme="minorHAnsi" w:cstheme="minorHAnsi"/>
          <w:sz w:val="22"/>
          <w:szCs w:val="22"/>
        </w:rPr>
        <w:instrText xml:space="preserve"> ADDIN EN.CITE.DATA </w:instrText>
      </w:r>
      <w:r w:rsidR="00885D3C">
        <w:rPr>
          <w:rFonts w:asciiTheme="minorHAnsi" w:hAnsiTheme="minorHAnsi" w:cstheme="minorHAnsi"/>
          <w:sz w:val="22"/>
          <w:szCs w:val="22"/>
        </w:rPr>
      </w:r>
      <w:r w:rsidR="00885D3C">
        <w:rPr>
          <w:rFonts w:asciiTheme="minorHAnsi" w:hAnsiTheme="minorHAnsi" w:cstheme="minorHAnsi"/>
          <w:sz w:val="22"/>
          <w:szCs w:val="22"/>
        </w:rPr>
        <w:fldChar w:fldCharType="end"/>
      </w:r>
      <w:r w:rsidR="00926280">
        <w:rPr>
          <w:rFonts w:asciiTheme="minorHAnsi" w:hAnsiTheme="minorHAnsi" w:cstheme="minorHAnsi"/>
          <w:sz w:val="22"/>
          <w:szCs w:val="22"/>
        </w:rPr>
      </w:r>
      <w:r w:rsidR="00926280">
        <w:rPr>
          <w:rFonts w:asciiTheme="minorHAnsi" w:hAnsiTheme="minorHAnsi" w:cstheme="minorHAnsi"/>
          <w:sz w:val="22"/>
          <w:szCs w:val="22"/>
        </w:rPr>
        <w:fldChar w:fldCharType="separate"/>
      </w:r>
      <w:r w:rsidR="00885D3C" w:rsidRPr="00885D3C">
        <w:rPr>
          <w:rFonts w:asciiTheme="minorHAnsi" w:hAnsiTheme="minorHAnsi" w:cstheme="minorHAnsi"/>
          <w:noProof/>
          <w:sz w:val="22"/>
          <w:szCs w:val="22"/>
          <w:vertAlign w:val="superscript"/>
        </w:rPr>
        <w:t>50,51</w:t>
      </w:r>
      <w:r w:rsidR="00926280">
        <w:rPr>
          <w:rFonts w:asciiTheme="minorHAnsi" w:hAnsiTheme="minorHAnsi" w:cstheme="minorHAnsi"/>
          <w:sz w:val="22"/>
          <w:szCs w:val="22"/>
        </w:rPr>
        <w:fldChar w:fldCharType="end"/>
      </w:r>
      <w:r w:rsidRPr="008C37FB">
        <w:rPr>
          <w:rFonts w:asciiTheme="minorHAnsi" w:hAnsiTheme="minorHAnsi" w:cstheme="minorHAnsi"/>
          <w:sz w:val="22"/>
          <w:szCs w:val="22"/>
        </w:rPr>
        <w:t xml:space="preserve"> </w:t>
      </w:r>
      <w:r w:rsidR="00AD566A">
        <w:rPr>
          <w:rFonts w:asciiTheme="minorHAnsi" w:hAnsiTheme="minorHAnsi" w:cstheme="minorHAnsi"/>
          <w:sz w:val="22"/>
          <w:szCs w:val="22"/>
        </w:rPr>
        <w:t xml:space="preserve">Personal recall of </w:t>
      </w:r>
      <w:r w:rsidRPr="008C37FB">
        <w:rPr>
          <w:rFonts w:asciiTheme="minorHAnsi" w:hAnsiTheme="minorHAnsi" w:cstheme="minorHAnsi"/>
          <w:sz w:val="22"/>
          <w:szCs w:val="22"/>
        </w:rPr>
        <w:t>childhood and adolescent exposures may be prone to misclassification</w:t>
      </w:r>
      <w:r w:rsidR="00E22699">
        <w:rPr>
          <w:rFonts w:asciiTheme="minorHAnsi" w:hAnsiTheme="minorHAnsi" w:cstheme="minorHAnsi"/>
          <w:sz w:val="22"/>
          <w:szCs w:val="22"/>
        </w:rPr>
        <w:t xml:space="preserve">, although </w:t>
      </w:r>
      <w:r w:rsidR="00AD566A">
        <w:rPr>
          <w:rFonts w:asciiTheme="minorHAnsi" w:hAnsiTheme="minorHAnsi" w:cstheme="minorHAnsi"/>
          <w:sz w:val="22"/>
          <w:szCs w:val="22"/>
        </w:rPr>
        <w:t>recall</w:t>
      </w:r>
      <w:r w:rsidR="00E22699">
        <w:rPr>
          <w:rFonts w:asciiTheme="minorHAnsi" w:hAnsiTheme="minorHAnsi" w:cstheme="minorHAnsi"/>
          <w:sz w:val="22"/>
          <w:szCs w:val="22"/>
        </w:rPr>
        <w:t xml:space="preserve"> bias </w:t>
      </w:r>
      <w:r w:rsidR="00AD566A">
        <w:rPr>
          <w:rFonts w:asciiTheme="minorHAnsi" w:hAnsiTheme="minorHAnsi" w:cstheme="minorHAnsi"/>
          <w:sz w:val="22"/>
          <w:szCs w:val="22"/>
        </w:rPr>
        <w:t xml:space="preserve">in a cohort study setting is </w:t>
      </w:r>
      <w:r w:rsidR="00A227B5">
        <w:rPr>
          <w:rFonts w:asciiTheme="minorHAnsi" w:hAnsiTheme="minorHAnsi" w:cstheme="minorHAnsi"/>
          <w:sz w:val="22"/>
          <w:szCs w:val="22"/>
        </w:rPr>
        <w:t>likely</w:t>
      </w:r>
      <w:r w:rsidR="00AD566A">
        <w:rPr>
          <w:rFonts w:asciiTheme="minorHAnsi" w:hAnsiTheme="minorHAnsi" w:cstheme="minorHAnsi"/>
          <w:sz w:val="22"/>
          <w:szCs w:val="22"/>
        </w:rPr>
        <w:t xml:space="preserve"> non-differential between cases and non-cases</w:t>
      </w:r>
      <w:r w:rsidR="00A227B5">
        <w:rPr>
          <w:rFonts w:asciiTheme="minorHAnsi" w:hAnsiTheme="minorHAnsi" w:cstheme="minorHAnsi"/>
          <w:sz w:val="22"/>
          <w:szCs w:val="22"/>
        </w:rPr>
        <w:t>; this type of bias tends to drive associations toward the null rather than induce spurious positive findings</w:t>
      </w:r>
      <w:r w:rsidRPr="008C37FB">
        <w:rPr>
          <w:rFonts w:asciiTheme="minorHAnsi" w:hAnsiTheme="minorHAnsi" w:cstheme="minorHAnsi"/>
          <w:sz w:val="22"/>
          <w:szCs w:val="22"/>
        </w:rPr>
        <w:t xml:space="preserve">. </w:t>
      </w:r>
      <w:r w:rsidR="00DF080D">
        <w:rPr>
          <w:rFonts w:asciiTheme="minorHAnsi" w:hAnsiTheme="minorHAnsi" w:cstheme="minorHAnsi"/>
          <w:sz w:val="22"/>
          <w:szCs w:val="22"/>
        </w:rPr>
        <w:t>A</w:t>
      </w:r>
      <w:r w:rsidR="00DF080D" w:rsidRPr="00DF080D">
        <w:rPr>
          <w:rFonts w:asciiTheme="minorHAnsi" w:hAnsiTheme="minorHAnsi" w:cstheme="minorHAnsi"/>
          <w:sz w:val="22"/>
          <w:szCs w:val="22"/>
        </w:rPr>
        <w:t>lthough we were missing information on some potential confounders (</w:t>
      </w:r>
      <w:r w:rsidR="00FD2545">
        <w:rPr>
          <w:rFonts w:asciiTheme="minorHAnsi" w:hAnsiTheme="minorHAnsi" w:cstheme="minorHAnsi"/>
          <w:sz w:val="22"/>
          <w:szCs w:val="22"/>
        </w:rPr>
        <w:t xml:space="preserve">e.g., </w:t>
      </w:r>
      <w:r w:rsidR="00A227B5">
        <w:rPr>
          <w:rFonts w:asciiTheme="minorHAnsi" w:hAnsiTheme="minorHAnsi" w:cstheme="minorHAnsi"/>
          <w:sz w:val="22"/>
          <w:szCs w:val="22"/>
        </w:rPr>
        <w:t xml:space="preserve">detailed </w:t>
      </w:r>
      <w:r w:rsidR="00DF080D" w:rsidRPr="00DF080D">
        <w:rPr>
          <w:rFonts w:asciiTheme="minorHAnsi" w:hAnsiTheme="minorHAnsi" w:cstheme="minorHAnsi"/>
          <w:sz w:val="22"/>
          <w:szCs w:val="22"/>
        </w:rPr>
        <w:t>diet</w:t>
      </w:r>
      <w:r w:rsidR="00A227B5">
        <w:rPr>
          <w:rFonts w:asciiTheme="minorHAnsi" w:hAnsiTheme="minorHAnsi" w:cstheme="minorHAnsi"/>
          <w:sz w:val="22"/>
          <w:szCs w:val="22"/>
        </w:rPr>
        <w:t>ary intake</w:t>
      </w:r>
      <w:r w:rsidR="00DF080D" w:rsidRPr="00DF080D">
        <w:rPr>
          <w:rFonts w:asciiTheme="minorHAnsi" w:hAnsiTheme="minorHAnsi" w:cstheme="minorHAnsi"/>
          <w:sz w:val="22"/>
          <w:szCs w:val="22"/>
        </w:rPr>
        <w:t xml:space="preserve">), our assessment of </w:t>
      </w:r>
      <w:r w:rsidR="00FD2545">
        <w:rPr>
          <w:rFonts w:asciiTheme="minorHAnsi" w:hAnsiTheme="minorHAnsi" w:cstheme="minorHAnsi"/>
          <w:sz w:val="22"/>
          <w:szCs w:val="22"/>
        </w:rPr>
        <w:t>E</w:t>
      </w:r>
      <w:r w:rsidR="00DF080D" w:rsidRPr="00DF080D">
        <w:rPr>
          <w:rFonts w:asciiTheme="minorHAnsi" w:hAnsiTheme="minorHAnsi" w:cstheme="minorHAnsi"/>
          <w:sz w:val="22"/>
          <w:szCs w:val="22"/>
        </w:rPr>
        <w:t>-values showed that their effects would have to be large to strongly influence results</w:t>
      </w:r>
      <w:r w:rsidRPr="008C37FB">
        <w:rPr>
          <w:rFonts w:asciiTheme="minorHAnsi" w:hAnsiTheme="minorHAnsi" w:cstheme="minorHAnsi"/>
          <w:sz w:val="22"/>
          <w:szCs w:val="22"/>
        </w:rPr>
        <w:t xml:space="preserve">. Lastly, we did not </w:t>
      </w:r>
      <w:r w:rsidR="00BC528E">
        <w:rPr>
          <w:rFonts w:asciiTheme="minorHAnsi" w:hAnsiTheme="minorHAnsi" w:cstheme="minorHAnsi"/>
          <w:sz w:val="22"/>
          <w:szCs w:val="22"/>
        </w:rPr>
        <w:t>account for</w:t>
      </w:r>
      <w:r w:rsidRPr="008C37FB">
        <w:rPr>
          <w:rFonts w:asciiTheme="minorHAnsi" w:hAnsiTheme="minorHAnsi" w:cstheme="minorHAnsi"/>
          <w:sz w:val="22"/>
          <w:szCs w:val="22"/>
        </w:rPr>
        <w:t xml:space="preserve"> exposure to ionizing radiation in childhood, but it is unlikely to be a strong confounder as </w:t>
      </w:r>
      <w:r w:rsidR="000646F9">
        <w:rPr>
          <w:rFonts w:asciiTheme="minorHAnsi" w:hAnsiTheme="minorHAnsi" w:cstheme="minorHAnsi"/>
          <w:sz w:val="22"/>
          <w:szCs w:val="22"/>
        </w:rPr>
        <w:t>we would not expect it to be associated with the</w:t>
      </w:r>
      <w:r w:rsidRPr="008C37FB">
        <w:rPr>
          <w:rFonts w:asciiTheme="minorHAnsi" w:hAnsiTheme="minorHAnsi" w:cstheme="minorHAnsi"/>
          <w:sz w:val="22"/>
          <w:szCs w:val="22"/>
        </w:rPr>
        <w:t xml:space="preserve"> exposures</w:t>
      </w:r>
      <w:r w:rsidR="000646F9">
        <w:rPr>
          <w:rFonts w:asciiTheme="minorHAnsi" w:hAnsiTheme="minorHAnsi" w:cstheme="minorHAnsi"/>
          <w:sz w:val="22"/>
          <w:szCs w:val="22"/>
        </w:rPr>
        <w:t xml:space="preserve"> examined in the current study.</w:t>
      </w:r>
    </w:p>
    <w:p w14:paraId="481F5F7D" w14:textId="73AC0532" w:rsidR="00DD32ED" w:rsidRPr="008C37FB" w:rsidRDefault="00035D5D" w:rsidP="003C77CE">
      <w:pPr>
        <w:pStyle w:val="Heading1"/>
      </w:pPr>
      <w:r w:rsidRPr="008C37FB">
        <w:t>Conclusion</w:t>
      </w:r>
    </w:p>
    <w:p w14:paraId="67D82B4D" w14:textId="44CE5F93" w:rsidR="00DB3EF0" w:rsidRDefault="002B1AF5" w:rsidP="008C37FB">
      <w:pPr>
        <w:spacing w:line="360" w:lineRule="auto"/>
        <w:rPr>
          <w:rFonts w:cstheme="minorHAnsi"/>
        </w:rPr>
      </w:pPr>
      <w:r>
        <w:rPr>
          <w:rFonts w:cstheme="minorHAnsi"/>
        </w:rPr>
        <w:t>In conclusion, t</w:t>
      </w:r>
      <w:r w:rsidR="000B2D1C">
        <w:rPr>
          <w:rFonts w:cstheme="minorHAnsi"/>
        </w:rPr>
        <w:t>he current</w:t>
      </w:r>
      <w:r w:rsidR="008C37FB" w:rsidRPr="008C37FB">
        <w:rPr>
          <w:rFonts w:cstheme="minorHAnsi"/>
        </w:rPr>
        <w:t xml:space="preserve"> study</w:t>
      </w:r>
      <w:r w:rsidR="000B2D1C">
        <w:rPr>
          <w:rFonts w:cstheme="minorHAnsi"/>
        </w:rPr>
        <w:t xml:space="preserve"> </w:t>
      </w:r>
      <w:r w:rsidR="00326FA1" w:rsidRPr="008C37FB">
        <w:rPr>
          <w:rFonts w:cstheme="minorHAnsi"/>
        </w:rPr>
        <w:t>supports</w:t>
      </w:r>
      <w:r w:rsidR="008C37FB" w:rsidRPr="008C37FB">
        <w:rPr>
          <w:rFonts w:cstheme="minorHAnsi"/>
        </w:rPr>
        <w:t xml:space="preserve"> the </w:t>
      </w:r>
      <w:r w:rsidR="006A63E3">
        <w:rPr>
          <w:rFonts w:cstheme="minorHAnsi"/>
        </w:rPr>
        <w:t>influence</w:t>
      </w:r>
      <w:r w:rsidR="008C37FB" w:rsidRPr="008C37FB">
        <w:rPr>
          <w:rFonts w:cstheme="minorHAnsi"/>
        </w:rPr>
        <w:t xml:space="preserve"> of early-life exposures</w:t>
      </w:r>
      <w:r w:rsidR="00790394">
        <w:rPr>
          <w:rFonts w:cstheme="minorHAnsi"/>
        </w:rPr>
        <w:t>, including</w:t>
      </w:r>
      <w:r w:rsidR="00CB0545">
        <w:rPr>
          <w:rFonts w:cstheme="minorHAnsi"/>
        </w:rPr>
        <w:t xml:space="preserve"> </w:t>
      </w:r>
      <w:r w:rsidR="00A227B5">
        <w:rPr>
          <w:rFonts w:cstheme="minorHAnsi"/>
        </w:rPr>
        <w:t xml:space="preserve">relative </w:t>
      </w:r>
      <w:r w:rsidR="00790394">
        <w:rPr>
          <w:rFonts w:cstheme="minorHAnsi"/>
        </w:rPr>
        <w:t xml:space="preserve">body size, ever not having enough to eat, and </w:t>
      </w:r>
      <w:r w:rsidR="00D24EFA" w:rsidRPr="00D67DBC">
        <w:rPr>
          <w:rFonts w:cstheme="minorHAnsi"/>
        </w:rPr>
        <w:t>higher household education levels</w:t>
      </w:r>
      <w:r w:rsidR="00D24EFA">
        <w:rPr>
          <w:rFonts w:cstheme="minorHAnsi"/>
        </w:rPr>
        <w:t>,</w:t>
      </w:r>
      <w:r w:rsidR="00D24EFA" w:rsidRPr="00D67DBC">
        <w:rPr>
          <w:rFonts w:cstheme="minorHAnsi"/>
        </w:rPr>
        <w:t xml:space="preserve"> </w:t>
      </w:r>
      <w:r w:rsidR="008C37FB" w:rsidRPr="008C37FB">
        <w:rPr>
          <w:rFonts w:cstheme="minorHAnsi"/>
        </w:rPr>
        <w:t xml:space="preserve">on </w:t>
      </w:r>
      <w:r w:rsidR="006A63E3">
        <w:rPr>
          <w:rFonts w:cstheme="minorHAnsi"/>
        </w:rPr>
        <w:t xml:space="preserve">subsequent </w:t>
      </w:r>
      <w:r w:rsidR="008C37FB" w:rsidRPr="008C37FB">
        <w:rPr>
          <w:rFonts w:cstheme="minorHAnsi"/>
        </w:rPr>
        <w:t>DTC incidence</w:t>
      </w:r>
      <w:r w:rsidR="00A20D9A">
        <w:rPr>
          <w:rFonts w:cstheme="minorHAnsi"/>
        </w:rPr>
        <w:t xml:space="preserve">. </w:t>
      </w:r>
      <w:r w:rsidR="005344FB">
        <w:rPr>
          <w:rFonts w:cstheme="minorHAnsi"/>
        </w:rPr>
        <w:t>These findings</w:t>
      </w:r>
      <w:r w:rsidR="008C37FB" w:rsidRPr="008C37FB">
        <w:rPr>
          <w:rFonts w:cstheme="minorHAnsi"/>
        </w:rPr>
        <w:t xml:space="preserve"> offer further </w:t>
      </w:r>
      <w:r w:rsidR="00A227B5">
        <w:rPr>
          <w:rFonts w:cstheme="minorHAnsi"/>
        </w:rPr>
        <w:t>clues into the etiology of DTC</w:t>
      </w:r>
      <w:r w:rsidR="006E0078">
        <w:rPr>
          <w:rFonts w:cstheme="minorHAnsi"/>
        </w:rPr>
        <w:t xml:space="preserve">, </w:t>
      </w:r>
      <w:r w:rsidR="00A227B5">
        <w:rPr>
          <w:rFonts w:cstheme="minorHAnsi"/>
        </w:rPr>
        <w:t>including a possible role of early-life growth and nutrition</w:t>
      </w:r>
      <w:r w:rsidR="008C37FB" w:rsidRPr="008C37FB">
        <w:rPr>
          <w:rFonts w:cstheme="minorHAnsi"/>
        </w:rPr>
        <w:t>.</w:t>
      </w:r>
      <w:r w:rsidR="006E0078">
        <w:rPr>
          <w:rFonts w:cstheme="minorHAnsi"/>
        </w:rPr>
        <w:t xml:space="preserve"> </w:t>
      </w:r>
    </w:p>
    <w:p w14:paraId="52D7F1C1" w14:textId="77777777" w:rsidR="00DB3EF0" w:rsidRDefault="00DB3EF0">
      <w:pPr>
        <w:rPr>
          <w:rFonts w:cstheme="minorHAnsi"/>
        </w:rPr>
      </w:pPr>
      <w:r>
        <w:rPr>
          <w:rFonts w:cstheme="minorHAnsi"/>
        </w:rPr>
        <w:br w:type="page"/>
      </w:r>
    </w:p>
    <w:p w14:paraId="159F82A3" w14:textId="4B4B53F9" w:rsidR="00E46B4A" w:rsidRDefault="00DB3EF0" w:rsidP="00BA264F">
      <w:pPr>
        <w:pStyle w:val="Heading1"/>
      </w:pPr>
      <w:r>
        <w:lastRenderedPageBreak/>
        <w:t>References</w:t>
      </w:r>
    </w:p>
    <w:bookmarkStart w:id="5" w:name="_Hlk177476436"/>
    <w:p w14:paraId="6B81A4C8" w14:textId="22CD92F1" w:rsidR="00EE10BB" w:rsidRPr="00EE10BB" w:rsidRDefault="00E46B4A" w:rsidP="00EE10BB">
      <w:pPr>
        <w:pStyle w:val="EndNoteBibliography"/>
        <w:spacing w:after="0"/>
        <w:ind w:left="720" w:hanging="720"/>
      </w:pPr>
      <w:r>
        <w:rPr>
          <w:lang w:eastAsia="ja-JP"/>
        </w:rPr>
        <w:fldChar w:fldCharType="begin"/>
      </w:r>
      <w:r>
        <w:rPr>
          <w:lang w:eastAsia="ja-JP"/>
        </w:rPr>
        <w:instrText xml:space="preserve"> ADDIN EN.REFLIST </w:instrText>
      </w:r>
      <w:r>
        <w:rPr>
          <w:lang w:eastAsia="ja-JP"/>
        </w:rPr>
        <w:fldChar w:fldCharType="separate"/>
      </w:r>
      <w:r w:rsidR="00EE10BB" w:rsidRPr="00EE10BB">
        <w:t>1</w:t>
      </w:r>
      <w:r w:rsidR="00EE10BB" w:rsidRPr="00EE10BB">
        <w:tab/>
        <w:t xml:space="preserve">Ferlay J, E. M., Lam F, Colombet M, Mery L, Piñeros M, Znaor A, Soerjomataram I, Bray F. </w:t>
      </w:r>
      <w:r w:rsidR="00EE10BB" w:rsidRPr="00EE10BB">
        <w:rPr>
          <w:i/>
        </w:rPr>
        <w:t>Global Cancer Observatory: Cancer Today. Lyon, France: International Agency for Research on Cancer</w:t>
      </w:r>
      <w:r w:rsidR="00EE10BB" w:rsidRPr="00EE10BB">
        <w:t xml:space="preserve">, </w:t>
      </w:r>
      <w:hyperlink r:id="rId9" w:history="1">
        <w:r w:rsidR="00EE10BB" w:rsidRPr="00EE10BB">
          <w:rPr>
            <w:rStyle w:val="Hyperlink"/>
          </w:rPr>
          <w:t>https://gco.iarc.fr/today</w:t>
        </w:r>
      </w:hyperlink>
      <w:r w:rsidR="00EE10BB" w:rsidRPr="00EE10BB">
        <w:t xml:space="preserve"> Accessed December 29, 2023, (2020).</w:t>
      </w:r>
    </w:p>
    <w:p w14:paraId="40A11EDB" w14:textId="77777777" w:rsidR="00EE10BB" w:rsidRPr="00EE10BB" w:rsidRDefault="00EE10BB" w:rsidP="00EE10BB">
      <w:pPr>
        <w:pStyle w:val="EndNoteBibliography"/>
        <w:spacing w:after="0"/>
        <w:ind w:left="720" w:hanging="720"/>
      </w:pPr>
      <w:r w:rsidRPr="00EE10BB">
        <w:t>2</w:t>
      </w:r>
      <w:r w:rsidRPr="00EE10BB">
        <w:tab/>
        <w:t xml:space="preserve">Kitahara, C. M. &amp; Schneider, A. B. Epidemiology of Thyroid Cancer. </w:t>
      </w:r>
      <w:r w:rsidRPr="00EE10BB">
        <w:rPr>
          <w:i/>
        </w:rPr>
        <w:t>Cancer epidemiology, biomarkers &amp; prevention : a publication of the American Association for Cancer Research, cosponsored by the American Society of Preventive Oncology</w:t>
      </w:r>
      <w:r w:rsidRPr="00EE10BB">
        <w:t xml:space="preserve"> </w:t>
      </w:r>
      <w:r w:rsidRPr="00EE10BB">
        <w:rPr>
          <w:b/>
        </w:rPr>
        <w:t>31</w:t>
      </w:r>
      <w:r w:rsidRPr="00EE10BB">
        <w:t>, 1284-1297 (2022).</w:t>
      </w:r>
    </w:p>
    <w:p w14:paraId="57459602" w14:textId="77777777" w:rsidR="00EE10BB" w:rsidRPr="00EE10BB" w:rsidRDefault="00EE10BB" w:rsidP="00EE10BB">
      <w:pPr>
        <w:pStyle w:val="EndNoteBibliography"/>
        <w:spacing w:after="0"/>
        <w:ind w:left="720" w:hanging="720"/>
      </w:pPr>
      <w:r w:rsidRPr="00EE10BB">
        <w:t>3</w:t>
      </w:r>
      <w:r w:rsidRPr="00EE10BB">
        <w:tab/>
        <w:t>Durante, C.</w:t>
      </w:r>
      <w:r w:rsidRPr="00EE10BB">
        <w:rPr>
          <w:i/>
        </w:rPr>
        <w:t xml:space="preserve"> et al.</w:t>
      </w:r>
      <w:r w:rsidRPr="00EE10BB">
        <w:t xml:space="preserve"> The natural history of benign thyroid nodules. </w:t>
      </w:r>
      <w:r w:rsidRPr="00EE10BB">
        <w:rPr>
          <w:i/>
        </w:rPr>
        <w:t>Jama</w:t>
      </w:r>
      <w:r w:rsidRPr="00EE10BB">
        <w:t xml:space="preserve"> </w:t>
      </w:r>
      <w:r w:rsidRPr="00EE10BB">
        <w:rPr>
          <w:b/>
        </w:rPr>
        <w:t>313</w:t>
      </w:r>
      <w:r w:rsidRPr="00EE10BB">
        <w:t>, 926-935 (2015).</w:t>
      </w:r>
    </w:p>
    <w:p w14:paraId="79BF35B1" w14:textId="77777777" w:rsidR="00EE10BB" w:rsidRPr="00EE10BB" w:rsidRDefault="00EE10BB" w:rsidP="00EE10BB">
      <w:pPr>
        <w:pStyle w:val="EndNoteBibliography"/>
        <w:spacing w:after="0"/>
        <w:ind w:left="720" w:hanging="720"/>
      </w:pPr>
      <w:r w:rsidRPr="00EE10BB">
        <w:t>4</w:t>
      </w:r>
      <w:r w:rsidRPr="00EE10BB">
        <w:tab/>
        <w:t>Angell, T. E.</w:t>
      </w:r>
      <w:r w:rsidRPr="00EE10BB">
        <w:rPr>
          <w:i/>
        </w:rPr>
        <w:t xml:space="preserve"> et al.</w:t>
      </w:r>
      <w:r w:rsidRPr="00EE10BB">
        <w:t xml:space="preserve"> Differential Growth Rates of Benign vs. Malignant Thyroid Nodules. </w:t>
      </w:r>
      <w:r w:rsidRPr="00EE10BB">
        <w:rPr>
          <w:i/>
        </w:rPr>
        <w:t>The Journal of clinical endocrinology and metabolism</w:t>
      </w:r>
      <w:r w:rsidRPr="00EE10BB">
        <w:t xml:space="preserve"> </w:t>
      </w:r>
      <w:r w:rsidRPr="00EE10BB">
        <w:rPr>
          <w:b/>
        </w:rPr>
        <w:t>102</w:t>
      </w:r>
      <w:r w:rsidRPr="00EE10BB">
        <w:t>, 4642-4647 (2017).</w:t>
      </w:r>
    </w:p>
    <w:p w14:paraId="1F5A1760" w14:textId="4BCB0178" w:rsidR="00EE10BB" w:rsidRPr="00EE10BB" w:rsidRDefault="00EE10BB" w:rsidP="00EE10BB">
      <w:pPr>
        <w:pStyle w:val="EndNoteBibliography"/>
        <w:spacing w:after="0"/>
        <w:ind w:left="720" w:hanging="720"/>
      </w:pPr>
      <w:r w:rsidRPr="00EE10BB">
        <w:t>5</w:t>
      </w:r>
      <w:r w:rsidRPr="00EE10BB">
        <w:tab/>
        <w:t xml:space="preserve">Surveillance Research Program, N. C. I. </w:t>
      </w:r>
      <w:r w:rsidRPr="00EE10BB">
        <w:rPr>
          <w:i/>
        </w:rPr>
        <w:t>SEER*Explorer: An interactive website for SEER cancer statistics [Internet]</w:t>
      </w:r>
      <w:r w:rsidRPr="00EE10BB">
        <w:t xml:space="preserve">, </w:t>
      </w:r>
      <w:hyperlink r:id="rId10" w:history="1">
        <w:r w:rsidRPr="00EE10BB">
          <w:rPr>
            <w:rStyle w:val="Hyperlink"/>
          </w:rPr>
          <w:t>https://seer.cancer.gov/statistics-network/explorer/</w:t>
        </w:r>
      </w:hyperlink>
      <w:r w:rsidRPr="00EE10BB">
        <w:t xml:space="preserve"> Accessed April 17, 2024.</w:t>
      </w:r>
    </w:p>
    <w:p w14:paraId="761DBE78" w14:textId="77777777" w:rsidR="00EE10BB" w:rsidRPr="00EE10BB" w:rsidRDefault="00EE10BB" w:rsidP="00EE10BB">
      <w:pPr>
        <w:pStyle w:val="EndNoteBibliography"/>
        <w:spacing w:after="0"/>
        <w:ind w:left="720" w:hanging="720"/>
      </w:pPr>
      <w:r w:rsidRPr="00EE10BB">
        <w:t>6</w:t>
      </w:r>
      <w:r w:rsidRPr="00EE10BB">
        <w:tab/>
        <w:t>Frederiksen, H.</w:t>
      </w:r>
      <w:r w:rsidRPr="00EE10BB">
        <w:rPr>
          <w:i/>
        </w:rPr>
        <w:t xml:space="preserve"> et al.</w:t>
      </w:r>
      <w:r w:rsidRPr="00EE10BB">
        <w:t xml:space="preserve"> Sex-specific Estrogen Levels and Reference Intervals from Infancy to Late Adulthood Determined by LC-MS/MS. </w:t>
      </w:r>
      <w:r w:rsidRPr="00EE10BB">
        <w:rPr>
          <w:i/>
        </w:rPr>
        <w:t>The Journal of clinical endocrinology and metabolism</w:t>
      </w:r>
      <w:r w:rsidRPr="00EE10BB">
        <w:t xml:space="preserve"> </w:t>
      </w:r>
      <w:r w:rsidRPr="00EE10BB">
        <w:rPr>
          <w:b/>
        </w:rPr>
        <w:t>105</w:t>
      </w:r>
      <w:r w:rsidRPr="00EE10BB">
        <w:t>, 754-768 (2020).</w:t>
      </w:r>
    </w:p>
    <w:p w14:paraId="605EBC8A" w14:textId="77777777" w:rsidR="00EE10BB" w:rsidRPr="00EE10BB" w:rsidRDefault="00EE10BB" w:rsidP="00EE10BB">
      <w:pPr>
        <w:pStyle w:val="EndNoteBibliography"/>
        <w:spacing w:after="0"/>
        <w:ind w:left="720" w:hanging="720"/>
      </w:pPr>
      <w:r w:rsidRPr="00EE10BB">
        <w:t>7</w:t>
      </w:r>
      <w:r w:rsidRPr="00EE10BB">
        <w:tab/>
        <w:t xml:space="preserve">Toublanc, J. E. Modifications of growth hormone secretion during female puberty. </w:t>
      </w:r>
      <w:r w:rsidRPr="00EE10BB">
        <w:rPr>
          <w:i/>
        </w:rPr>
        <w:t>Ann N Y Acad Sci</w:t>
      </w:r>
      <w:r w:rsidRPr="00EE10BB">
        <w:t xml:space="preserve"> </w:t>
      </w:r>
      <w:r w:rsidRPr="00EE10BB">
        <w:rPr>
          <w:b/>
        </w:rPr>
        <w:t>816</w:t>
      </w:r>
      <w:r w:rsidRPr="00EE10BB">
        <w:t>, 60-75 (1997).</w:t>
      </w:r>
    </w:p>
    <w:p w14:paraId="538B9B9B" w14:textId="77777777" w:rsidR="00EE10BB" w:rsidRPr="00EE10BB" w:rsidRDefault="00EE10BB" w:rsidP="00EE10BB">
      <w:pPr>
        <w:pStyle w:val="EndNoteBibliography"/>
        <w:spacing w:after="0"/>
        <w:ind w:left="720" w:hanging="720"/>
      </w:pPr>
      <w:r w:rsidRPr="00EE10BB">
        <w:t>8</w:t>
      </w:r>
      <w:r w:rsidRPr="00EE10BB">
        <w:tab/>
        <w:t xml:space="preserve">Savage, M. O., Smith, C. P., Dunger, D. B., Gale, E. A., Holly, J. M. &amp; Preece, M. A. Insulin and growth factors adaptation to normal puberty. </w:t>
      </w:r>
      <w:r w:rsidRPr="00EE10BB">
        <w:rPr>
          <w:i/>
        </w:rPr>
        <w:t>Horm Res</w:t>
      </w:r>
      <w:r w:rsidRPr="00EE10BB">
        <w:t xml:space="preserve"> </w:t>
      </w:r>
      <w:r w:rsidRPr="00EE10BB">
        <w:rPr>
          <w:b/>
        </w:rPr>
        <w:t>37 Suppl 3</w:t>
      </w:r>
      <w:r w:rsidRPr="00EE10BB">
        <w:t>, 70-73 (1992).</w:t>
      </w:r>
    </w:p>
    <w:p w14:paraId="46F5ADDF" w14:textId="77777777" w:rsidR="00EE10BB" w:rsidRPr="00EE10BB" w:rsidRDefault="00EE10BB" w:rsidP="00EE10BB">
      <w:pPr>
        <w:pStyle w:val="EndNoteBibliography"/>
        <w:spacing w:after="0"/>
        <w:ind w:left="720" w:hanging="720"/>
      </w:pPr>
      <w:r w:rsidRPr="00EE10BB">
        <w:t>9</w:t>
      </w:r>
      <w:r w:rsidRPr="00EE10BB">
        <w:tab/>
        <w:t xml:space="preserve">Löfqvist, C., Andersson, E., Gelander, L., Rosberg, S., Blum, W. F. &amp; Wikland, K. A. Reference Values for IGF-I throughout Childhood and Adolescence: A Model that Accounts Simultaneously for the Effect of Gender, Age, and Puberty. </w:t>
      </w:r>
      <w:r w:rsidRPr="00EE10BB">
        <w:rPr>
          <w:i/>
        </w:rPr>
        <w:t>The Journal of Clinical Endocrinology &amp; Metabolism</w:t>
      </w:r>
      <w:r w:rsidRPr="00EE10BB">
        <w:t xml:space="preserve"> </w:t>
      </w:r>
      <w:r w:rsidRPr="00EE10BB">
        <w:rPr>
          <w:b/>
        </w:rPr>
        <w:t>86</w:t>
      </w:r>
      <w:r w:rsidRPr="00EE10BB">
        <w:t>, 5870-5876 (2001).</w:t>
      </w:r>
    </w:p>
    <w:p w14:paraId="65E82CC3" w14:textId="77777777" w:rsidR="00EE10BB" w:rsidRPr="00EE10BB" w:rsidRDefault="00EE10BB" w:rsidP="00EE10BB">
      <w:pPr>
        <w:pStyle w:val="EndNoteBibliography"/>
        <w:spacing w:after="0"/>
        <w:ind w:left="720" w:hanging="720"/>
      </w:pPr>
      <w:r w:rsidRPr="00EE10BB">
        <w:t>10</w:t>
      </w:r>
      <w:r w:rsidRPr="00EE10BB">
        <w:tab/>
        <w:t xml:space="preserve">Manole, D., Schildknecht, B., Gosnell, B., Adams, E. &amp; Derwahl, M. Estrogen promotes growth of human thyroid tumor cells by different molecular mechanisms. </w:t>
      </w:r>
      <w:r w:rsidRPr="00EE10BB">
        <w:rPr>
          <w:i/>
        </w:rPr>
        <w:t>The Journal of clinical endocrinology and metabolism</w:t>
      </w:r>
      <w:r w:rsidRPr="00EE10BB">
        <w:t xml:space="preserve"> </w:t>
      </w:r>
      <w:r w:rsidRPr="00EE10BB">
        <w:rPr>
          <w:b/>
        </w:rPr>
        <w:t>86</w:t>
      </w:r>
      <w:r w:rsidRPr="00EE10BB">
        <w:t>, 1072-1077 (2001).</w:t>
      </w:r>
    </w:p>
    <w:p w14:paraId="3684C557" w14:textId="77777777" w:rsidR="00EE10BB" w:rsidRPr="00EE10BB" w:rsidRDefault="00EE10BB" w:rsidP="00EE10BB">
      <w:pPr>
        <w:pStyle w:val="EndNoteBibliography"/>
        <w:spacing w:after="0"/>
        <w:ind w:left="720" w:hanging="720"/>
      </w:pPr>
      <w:r w:rsidRPr="00EE10BB">
        <w:t>11</w:t>
      </w:r>
      <w:r w:rsidRPr="00EE10BB">
        <w:tab/>
        <w:t xml:space="preserve">Dumont, J. E., Maenhaut, C., Pirson, I., Baptist, M. &amp; Roger, P. P. Growth factors controlling the thyroid gland. </w:t>
      </w:r>
      <w:r w:rsidRPr="00EE10BB">
        <w:rPr>
          <w:i/>
        </w:rPr>
        <w:t>Bailliere's clinical endocrinology and metabolism</w:t>
      </w:r>
      <w:r w:rsidRPr="00EE10BB">
        <w:t xml:space="preserve"> </w:t>
      </w:r>
      <w:r w:rsidRPr="00EE10BB">
        <w:rPr>
          <w:b/>
        </w:rPr>
        <w:t>5</w:t>
      </w:r>
      <w:r w:rsidRPr="00EE10BB">
        <w:t>, 727-754 (1991).</w:t>
      </w:r>
    </w:p>
    <w:p w14:paraId="45A23BA2" w14:textId="77777777" w:rsidR="00EE10BB" w:rsidRPr="00EE10BB" w:rsidRDefault="00EE10BB" w:rsidP="00EE10BB">
      <w:pPr>
        <w:pStyle w:val="EndNoteBibliography"/>
        <w:spacing w:after="0"/>
        <w:ind w:left="720" w:hanging="720"/>
      </w:pPr>
      <w:r w:rsidRPr="00EE10BB">
        <w:t>12</w:t>
      </w:r>
      <w:r w:rsidRPr="00EE10BB">
        <w:tab/>
        <w:t xml:space="preserve">Derwahl, M. &amp; Nicula, D. Estrogen and its role in thyroid cancer. </w:t>
      </w:r>
      <w:r w:rsidRPr="00EE10BB">
        <w:rPr>
          <w:i/>
        </w:rPr>
        <w:t>Endocrine-related cancer</w:t>
      </w:r>
      <w:r w:rsidRPr="00EE10BB">
        <w:t xml:space="preserve"> </w:t>
      </w:r>
      <w:r w:rsidRPr="00EE10BB">
        <w:rPr>
          <w:b/>
        </w:rPr>
        <w:t>21</w:t>
      </w:r>
      <w:r w:rsidRPr="00EE10BB">
        <w:t>, T273-283 (2014).</w:t>
      </w:r>
    </w:p>
    <w:p w14:paraId="74138B49" w14:textId="77777777" w:rsidR="00EE10BB" w:rsidRPr="00EE10BB" w:rsidRDefault="00EE10BB" w:rsidP="00EE10BB">
      <w:pPr>
        <w:pStyle w:val="EndNoteBibliography"/>
        <w:spacing w:after="0"/>
        <w:ind w:left="720" w:hanging="720"/>
      </w:pPr>
      <w:r w:rsidRPr="00EE10BB">
        <w:t>13</w:t>
      </w:r>
      <w:r w:rsidRPr="00EE10BB">
        <w:tab/>
        <w:t>Yane, K.</w:t>
      </w:r>
      <w:r w:rsidRPr="00EE10BB">
        <w:rPr>
          <w:i/>
        </w:rPr>
        <w:t xml:space="preserve"> et al.</w:t>
      </w:r>
      <w:r w:rsidRPr="00EE10BB">
        <w:t xml:space="preserve"> Expression of the estrogen receptor in human thyroid neoplasms. </w:t>
      </w:r>
      <w:r w:rsidRPr="00EE10BB">
        <w:rPr>
          <w:i/>
        </w:rPr>
        <w:t>Cancer letters</w:t>
      </w:r>
      <w:r w:rsidRPr="00EE10BB">
        <w:t xml:space="preserve"> </w:t>
      </w:r>
      <w:r w:rsidRPr="00EE10BB">
        <w:rPr>
          <w:b/>
        </w:rPr>
        <w:t>84</w:t>
      </w:r>
      <w:r w:rsidRPr="00EE10BB">
        <w:t>, 59-66 (1994).</w:t>
      </w:r>
    </w:p>
    <w:p w14:paraId="3B273C5E" w14:textId="77777777" w:rsidR="00EE10BB" w:rsidRPr="00EE10BB" w:rsidRDefault="00EE10BB" w:rsidP="00EE10BB">
      <w:pPr>
        <w:pStyle w:val="EndNoteBibliography"/>
        <w:spacing w:after="0"/>
        <w:ind w:left="720" w:hanging="720"/>
      </w:pPr>
      <w:r w:rsidRPr="00EE10BB">
        <w:t>14</w:t>
      </w:r>
      <w:r w:rsidRPr="00EE10BB">
        <w:tab/>
        <w:t>Manzella, L.</w:t>
      </w:r>
      <w:r w:rsidRPr="00EE10BB">
        <w:rPr>
          <w:i/>
        </w:rPr>
        <w:t xml:space="preserve"> et al.</w:t>
      </w:r>
      <w:r w:rsidRPr="00EE10BB">
        <w:t xml:space="preserve"> Activation of the IGF Axis in Thyroid Cancer: Implications for Tumorigenesis and Treatment. </w:t>
      </w:r>
      <w:r w:rsidRPr="00EE10BB">
        <w:rPr>
          <w:i/>
        </w:rPr>
        <w:t>Int J Mol Sci</w:t>
      </w:r>
      <w:r w:rsidRPr="00EE10BB">
        <w:t xml:space="preserve"> </w:t>
      </w:r>
      <w:r w:rsidRPr="00EE10BB">
        <w:rPr>
          <w:b/>
        </w:rPr>
        <w:t>20</w:t>
      </w:r>
      <w:r w:rsidRPr="00EE10BB">
        <w:t xml:space="preserve"> (2019).</w:t>
      </w:r>
    </w:p>
    <w:p w14:paraId="2044EDF2" w14:textId="77777777" w:rsidR="00EE10BB" w:rsidRPr="00EE10BB" w:rsidRDefault="00EE10BB" w:rsidP="00EE10BB">
      <w:pPr>
        <w:pStyle w:val="EndNoteBibliography"/>
        <w:spacing w:after="0"/>
        <w:ind w:left="720" w:hanging="720"/>
      </w:pPr>
      <w:r w:rsidRPr="00EE10BB">
        <w:t>15</w:t>
      </w:r>
      <w:r w:rsidRPr="00EE10BB">
        <w:tab/>
        <w:t>Hurson, A. N.</w:t>
      </w:r>
      <w:r w:rsidRPr="00EE10BB">
        <w:rPr>
          <w:i/>
        </w:rPr>
        <w:t xml:space="preserve"> et al.</w:t>
      </w:r>
      <w:r w:rsidRPr="00EE10BB">
        <w:t xml:space="preserve"> Risk factors for breast cancer subtypes by race and ethnicity: A scoping review. </w:t>
      </w:r>
      <w:r w:rsidRPr="00EE10BB">
        <w:rPr>
          <w:i/>
        </w:rPr>
        <w:t>Journal of the National Cancer Institute</w:t>
      </w:r>
      <w:r w:rsidRPr="00EE10BB">
        <w:t xml:space="preserve"> 10.1093/jnci/djae172 (2024).</w:t>
      </w:r>
    </w:p>
    <w:p w14:paraId="7D0DB3A7" w14:textId="77777777" w:rsidR="00EE10BB" w:rsidRPr="00EE10BB" w:rsidRDefault="00EE10BB" w:rsidP="00EE10BB">
      <w:pPr>
        <w:pStyle w:val="EndNoteBibliography"/>
        <w:spacing w:after="0"/>
        <w:ind w:left="720" w:hanging="720"/>
      </w:pPr>
      <w:r w:rsidRPr="00EE10BB">
        <w:t>16</w:t>
      </w:r>
      <w:r w:rsidRPr="00EE10BB">
        <w:tab/>
        <w:t>Raglan, O.</w:t>
      </w:r>
      <w:r w:rsidRPr="00EE10BB">
        <w:rPr>
          <w:i/>
        </w:rPr>
        <w:t xml:space="preserve"> et al.</w:t>
      </w:r>
      <w:r w:rsidRPr="00EE10BB">
        <w:t xml:space="preserve"> Risk factors for endometrial cancer: An umbrella review of the literature. </w:t>
      </w:r>
      <w:r w:rsidRPr="00EE10BB">
        <w:rPr>
          <w:i/>
        </w:rPr>
        <w:t>International journal of cancer</w:t>
      </w:r>
      <w:r w:rsidRPr="00EE10BB">
        <w:t xml:space="preserve"> </w:t>
      </w:r>
      <w:r w:rsidRPr="00EE10BB">
        <w:rPr>
          <w:b/>
        </w:rPr>
        <w:t>145</w:t>
      </w:r>
      <w:r w:rsidRPr="00EE10BB">
        <w:t>, 1719-1730 (2019).</w:t>
      </w:r>
    </w:p>
    <w:p w14:paraId="74836FEF" w14:textId="77777777" w:rsidR="00EE10BB" w:rsidRPr="00EE10BB" w:rsidRDefault="00EE10BB" w:rsidP="00EE10BB">
      <w:pPr>
        <w:pStyle w:val="EndNoteBibliography"/>
        <w:spacing w:after="0"/>
        <w:ind w:left="720" w:hanging="720"/>
      </w:pPr>
      <w:r w:rsidRPr="00EE10BB">
        <w:t>17</w:t>
      </w:r>
      <w:r w:rsidRPr="00EE10BB">
        <w:tab/>
        <w:t xml:space="preserve">La Vecchia, C. Ovarian cancer: epidemiology and risk factors. </w:t>
      </w:r>
      <w:r w:rsidRPr="00EE10BB">
        <w:rPr>
          <w:i/>
        </w:rPr>
        <w:t>Eur J Cancer Prev</w:t>
      </w:r>
      <w:r w:rsidRPr="00EE10BB">
        <w:t xml:space="preserve"> </w:t>
      </w:r>
      <w:r w:rsidRPr="00EE10BB">
        <w:rPr>
          <w:b/>
        </w:rPr>
        <w:t>26</w:t>
      </w:r>
      <w:r w:rsidRPr="00EE10BB">
        <w:t>, 55-62 (2017).</w:t>
      </w:r>
    </w:p>
    <w:p w14:paraId="082152AC" w14:textId="77777777" w:rsidR="00EE10BB" w:rsidRPr="00EE10BB" w:rsidRDefault="00EE10BB" w:rsidP="00EE10BB">
      <w:pPr>
        <w:pStyle w:val="EndNoteBibliography"/>
        <w:spacing w:after="0"/>
        <w:ind w:left="720" w:hanging="720"/>
      </w:pPr>
      <w:r w:rsidRPr="00EE10BB">
        <w:t>18</w:t>
      </w:r>
      <w:r w:rsidRPr="00EE10BB">
        <w:tab/>
        <w:t xml:space="preserve">Kitahara, C. M., Gamborg, M., Berrington de González, A., Sørensen, T. I. &amp; Baker, J. L. Childhood height and body mass index were associated with risk of adult thyroid cancer in a large cohort study. </w:t>
      </w:r>
      <w:r w:rsidRPr="00EE10BB">
        <w:rPr>
          <w:i/>
        </w:rPr>
        <w:t>Cancer research</w:t>
      </w:r>
      <w:r w:rsidRPr="00EE10BB">
        <w:t xml:space="preserve"> </w:t>
      </w:r>
      <w:r w:rsidRPr="00EE10BB">
        <w:rPr>
          <w:b/>
        </w:rPr>
        <w:t>74</w:t>
      </w:r>
      <w:r w:rsidRPr="00EE10BB">
        <w:t>, 235-242 (2014).</w:t>
      </w:r>
    </w:p>
    <w:p w14:paraId="71730140" w14:textId="77777777" w:rsidR="00EE10BB" w:rsidRPr="00EE10BB" w:rsidRDefault="00EE10BB" w:rsidP="00EE10BB">
      <w:pPr>
        <w:pStyle w:val="EndNoteBibliography"/>
        <w:spacing w:after="0"/>
        <w:ind w:left="720" w:hanging="720"/>
      </w:pPr>
      <w:r w:rsidRPr="00EE10BB">
        <w:t>19</w:t>
      </w:r>
      <w:r w:rsidRPr="00EE10BB">
        <w:tab/>
        <w:t>Farfel, A.</w:t>
      </w:r>
      <w:r w:rsidRPr="00EE10BB">
        <w:rPr>
          <w:i/>
        </w:rPr>
        <w:t xml:space="preserve"> et al.</w:t>
      </w:r>
      <w:r w:rsidRPr="00EE10BB">
        <w:t xml:space="preserve"> Predictors for thyroid carcinoma in Israel: a national cohort of 1,624,310 adolescents followed for up to 40 years. </w:t>
      </w:r>
      <w:r w:rsidRPr="00EE10BB">
        <w:rPr>
          <w:i/>
        </w:rPr>
        <w:t>Thyroid : official journal of the American Thyroid Association</w:t>
      </w:r>
      <w:r w:rsidRPr="00EE10BB">
        <w:t xml:space="preserve"> </w:t>
      </w:r>
      <w:r w:rsidRPr="00EE10BB">
        <w:rPr>
          <w:b/>
        </w:rPr>
        <w:t>24</w:t>
      </w:r>
      <w:r w:rsidRPr="00EE10BB">
        <w:t>, 987-993 (2014).</w:t>
      </w:r>
    </w:p>
    <w:p w14:paraId="2ACF7754" w14:textId="77777777" w:rsidR="00EE10BB" w:rsidRPr="00EE10BB" w:rsidRDefault="00EE10BB" w:rsidP="00EE10BB">
      <w:pPr>
        <w:pStyle w:val="EndNoteBibliography"/>
        <w:spacing w:after="0"/>
        <w:ind w:left="720" w:hanging="720"/>
      </w:pPr>
      <w:r w:rsidRPr="00EE10BB">
        <w:t>20</w:t>
      </w:r>
      <w:r w:rsidRPr="00EE10BB">
        <w:tab/>
        <w:t>Furer, A.</w:t>
      </w:r>
      <w:r w:rsidRPr="00EE10BB">
        <w:rPr>
          <w:i/>
        </w:rPr>
        <w:t xml:space="preserve"> et al.</w:t>
      </w:r>
      <w:r w:rsidRPr="00EE10BB">
        <w:t xml:space="preserve"> Adolescent obesity and midlife cancer risk: a population-based cohort study of 2·3 million adolescents in Israel. </w:t>
      </w:r>
      <w:r w:rsidRPr="00EE10BB">
        <w:rPr>
          <w:i/>
        </w:rPr>
        <w:t>The lancet. Diabetes &amp; endocrinology</w:t>
      </w:r>
      <w:r w:rsidRPr="00EE10BB">
        <w:t xml:space="preserve"> </w:t>
      </w:r>
      <w:r w:rsidRPr="00EE10BB">
        <w:rPr>
          <w:b/>
        </w:rPr>
        <w:t>8</w:t>
      </w:r>
      <w:r w:rsidRPr="00EE10BB">
        <w:t>, 216-225 (2020).</w:t>
      </w:r>
    </w:p>
    <w:p w14:paraId="48AC8245" w14:textId="77777777" w:rsidR="00EE10BB" w:rsidRPr="00EE10BB" w:rsidRDefault="00EE10BB" w:rsidP="00EE10BB">
      <w:pPr>
        <w:pStyle w:val="EndNoteBibliography"/>
        <w:spacing w:after="0"/>
        <w:ind w:left="720" w:hanging="720"/>
      </w:pPr>
      <w:r w:rsidRPr="00EE10BB">
        <w:lastRenderedPageBreak/>
        <w:t>21</w:t>
      </w:r>
      <w:r w:rsidRPr="00EE10BB">
        <w:tab/>
        <w:t>Kim, K. N.</w:t>
      </w:r>
      <w:r w:rsidRPr="00EE10BB">
        <w:rPr>
          <w:i/>
        </w:rPr>
        <w:t xml:space="preserve"> et al.</w:t>
      </w:r>
      <w:r w:rsidRPr="00EE10BB">
        <w:t xml:space="preserve"> Adolescent overweight and obesity and the risk of papillary thyroid cancer in adulthood: a large-scale case-control study. </w:t>
      </w:r>
      <w:r w:rsidRPr="00EE10BB">
        <w:rPr>
          <w:i/>
        </w:rPr>
        <w:t>Sci Rep</w:t>
      </w:r>
      <w:r w:rsidRPr="00EE10BB">
        <w:t xml:space="preserve"> </w:t>
      </w:r>
      <w:r w:rsidRPr="00EE10BB">
        <w:rPr>
          <w:b/>
        </w:rPr>
        <w:t>10</w:t>
      </w:r>
      <w:r w:rsidRPr="00EE10BB">
        <w:t>, 5000 (2020).</w:t>
      </w:r>
    </w:p>
    <w:p w14:paraId="49144BF9" w14:textId="77777777" w:rsidR="00EE10BB" w:rsidRPr="00EE10BB" w:rsidRDefault="00EE10BB" w:rsidP="00EE10BB">
      <w:pPr>
        <w:pStyle w:val="EndNoteBibliography"/>
        <w:spacing w:after="0"/>
        <w:ind w:left="720" w:hanging="720"/>
      </w:pPr>
      <w:r w:rsidRPr="00EE10BB">
        <w:t>22</w:t>
      </w:r>
      <w:r w:rsidRPr="00EE10BB">
        <w:tab/>
        <w:t>Mannathazhathu, A. S.</w:t>
      </w:r>
      <w:r w:rsidRPr="00EE10BB">
        <w:rPr>
          <w:i/>
        </w:rPr>
        <w:t xml:space="preserve"> et al.</w:t>
      </w:r>
      <w:r w:rsidRPr="00EE10BB">
        <w:t xml:space="preserve"> Reproductive factors and thyroid cancer risk: Meta-analysis. </w:t>
      </w:r>
      <w:r w:rsidRPr="00EE10BB">
        <w:rPr>
          <w:i/>
        </w:rPr>
        <w:t>Head Neck</w:t>
      </w:r>
      <w:r w:rsidRPr="00EE10BB">
        <w:t xml:space="preserve"> </w:t>
      </w:r>
      <w:r w:rsidRPr="00EE10BB">
        <w:rPr>
          <w:b/>
        </w:rPr>
        <w:t>41</w:t>
      </w:r>
      <w:r w:rsidRPr="00EE10BB">
        <w:t>, 4199-4208 (2019).</w:t>
      </w:r>
    </w:p>
    <w:p w14:paraId="0A381332" w14:textId="77777777" w:rsidR="00EE10BB" w:rsidRPr="00EE10BB" w:rsidRDefault="00EE10BB" w:rsidP="00EE10BB">
      <w:pPr>
        <w:pStyle w:val="EndNoteBibliography"/>
        <w:spacing w:after="0"/>
        <w:ind w:left="720" w:hanging="720"/>
      </w:pPr>
      <w:r w:rsidRPr="00EE10BB">
        <w:t>23</w:t>
      </w:r>
      <w:r w:rsidRPr="00EE10BB">
        <w:tab/>
        <w:t>O'Grady, T. J.</w:t>
      </w:r>
      <w:r w:rsidRPr="00EE10BB">
        <w:rPr>
          <w:i/>
        </w:rPr>
        <w:t xml:space="preserve"> et al.</w:t>
      </w:r>
      <w:r w:rsidRPr="00EE10BB">
        <w:t xml:space="preserve"> Association of hormonal and reproductive factors with differentiated thyroid cancer risk in women: a pooled prospective cohort analysis. </w:t>
      </w:r>
      <w:r w:rsidRPr="00EE10BB">
        <w:rPr>
          <w:i/>
        </w:rPr>
        <w:t>International journal of epidemiology</w:t>
      </w:r>
      <w:r w:rsidRPr="00EE10BB">
        <w:t xml:space="preserve"> </w:t>
      </w:r>
      <w:r w:rsidRPr="00EE10BB">
        <w:rPr>
          <w:b/>
        </w:rPr>
        <w:t>53</w:t>
      </w:r>
      <w:r w:rsidRPr="00EE10BB">
        <w:t xml:space="preserve"> (2024).</w:t>
      </w:r>
    </w:p>
    <w:p w14:paraId="7993C8CA" w14:textId="77777777" w:rsidR="00EE10BB" w:rsidRPr="00EE10BB" w:rsidRDefault="00EE10BB" w:rsidP="00EE10BB">
      <w:pPr>
        <w:pStyle w:val="EndNoteBibliography"/>
        <w:spacing w:after="0"/>
        <w:ind w:left="720" w:hanging="720"/>
      </w:pPr>
      <w:r w:rsidRPr="00EE10BB">
        <w:t>24</w:t>
      </w:r>
      <w:r w:rsidRPr="00EE10BB">
        <w:tab/>
        <w:t xml:space="preserve">Schubart, J. R., Eliassen, A. H., Schilling, A. &amp; Goldenberg, D. Reproductive Factors and Risk of Thyroid Cancer in Women: An Analysis in the Nurses' Health Study II. </w:t>
      </w:r>
      <w:r w:rsidRPr="00EE10BB">
        <w:rPr>
          <w:i/>
        </w:rPr>
        <w:t>Womens Health Issues</w:t>
      </w:r>
      <w:r w:rsidRPr="00EE10BB">
        <w:t xml:space="preserve"> </w:t>
      </w:r>
      <w:r w:rsidRPr="00EE10BB">
        <w:rPr>
          <w:b/>
        </w:rPr>
        <w:t>31</w:t>
      </w:r>
      <w:r w:rsidRPr="00EE10BB">
        <w:t>, 494-502 (2021).</w:t>
      </w:r>
    </w:p>
    <w:p w14:paraId="2C11991A" w14:textId="77777777" w:rsidR="00EE10BB" w:rsidRPr="00EE10BB" w:rsidRDefault="00EE10BB" w:rsidP="00EE10BB">
      <w:pPr>
        <w:pStyle w:val="EndNoteBibliography"/>
        <w:spacing w:after="0"/>
        <w:ind w:left="720" w:hanging="720"/>
      </w:pPr>
      <w:r w:rsidRPr="00EE10BB">
        <w:t>25</w:t>
      </w:r>
      <w:r w:rsidRPr="00EE10BB">
        <w:tab/>
        <w:t>Abe, J. V.</w:t>
      </w:r>
      <w:r w:rsidRPr="00EE10BB">
        <w:rPr>
          <w:i/>
        </w:rPr>
        <w:t xml:space="preserve"> et al.</w:t>
      </w:r>
      <w:r w:rsidRPr="00EE10BB">
        <w:t xml:space="preserve"> Reproductive Factors and Thyroid Cancer Risk: The Multiethnic Cohort Study. </w:t>
      </w:r>
      <w:r w:rsidRPr="00EE10BB">
        <w:rPr>
          <w:i/>
        </w:rPr>
        <w:t>J Womens Health (Larchmt)</w:t>
      </w:r>
      <w:r w:rsidRPr="00EE10BB">
        <w:t xml:space="preserve"> 10.1089/jwh.2023.0947 (2024).</w:t>
      </w:r>
    </w:p>
    <w:p w14:paraId="5A8F891B" w14:textId="77777777" w:rsidR="00EE10BB" w:rsidRPr="00EE10BB" w:rsidRDefault="00EE10BB" w:rsidP="00EE10BB">
      <w:pPr>
        <w:pStyle w:val="EndNoteBibliography"/>
        <w:spacing w:after="0"/>
        <w:ind w:left="720" w:hanging="720"/>
      </w:pPr>
      <w:r w:rsidRPr="00EE10BB">
        <w:t>26</w:t>
      </w:r>
      <w:r w:rsidRPr="00EE10BB">
        <w:tab/>
        <w:t>Gu, F.</w:t>
      </w:r>
      <w:r w:rsidRPr="00EE10BB">
        <w:rPr>
          <w:i/>
        </w:rPr>
        <w:t xml:space="preserve"> et al.</w:t>
      </w:r>
      <w:r w:rsidRPr="00EE10BB">
        <w:t xml:space="preserve"> Urinary concentrations of estrogens and estrogen metabolites and smoking in caucasian women. </w:t>
      </w:r>
      <w:r w:rsidRPr="00EE10BB">
        <w:rPr>
          <w:i/>
        </w:rPr>
        <w:t>Cancer epidemiology, biomarkers &amp; prevention : a publication of the American Association for Cancer Research, cosponsored by the American Society of Preventive Oncology</w:t>
      </w:r>
      <w:r w:rsidRPr="00EE10BB">
        <w:t xml:space="preserve"> </w:t>
      </w:r>
      <w:r w:rsidRPr="00EE10BB">
        <w:rPr>
          <w:b/>
        </w:rPr>
        <w:t>22</w:t>
      </w:r>
      <w:r w:rsidRPr="00EE10BB">
        <w:t>, 58-68 (2013).</w:t>
      </w:r>
    </w:p>
    <w:p w14:paraId="08721BCA" w14:textId="77777777" w:rsidR="00EE10BB" w:rsidRPr="00EE10BB" w:rsidRDefault="00EE10BB" w:rsidP="00EE10BB">
      <w:pPr>
        <w:pStyle w:val="EndNoteBibliography"/>
        <w:spacing w:after="0"/>
        <w:ind w:left="720" w:hanging="720"/>
      </w:pPr>
      <w:r w:rsidRPr="00EE10BB">
        <w:t>27</w:t>
      </w:r>
      <w:r w:rsidRPr="00EE10BB">
        <w:tab/>
        <w:t>Denny, L.</w:t>
      </w:r>
      <w:r w:rsidRPr="00EE10BB">
        <w:rPr>
          <w:i/>
        </w:rPr>
        <w:t xml:space="preserve"> et al.</w:t>
      </w:r>
      <w:r w:rsidRPr="00EE10BB">
        <w:t xml:space="preserve"> Social inequalities in cancer risk factors and health-care access.  (2021).</w:t>
      </w:r>
    </w:p>
    <w:p w14:paraId="5E53FDC6" w14:textId="77777777" w:rsidR="00EE10BB" w:rsidRPr="00EE10BB" w:rsidRDefault="00EE10BB" w:rsidP="00EE10BB">
      <w:pPr>
        <w:pStyle w:val="EndNoteBibliography"/>
        <w:spacing w:after="0"/>
        <w:ind w:left="720" w:hanging="720"/>
      </w:pPr>
      <w:r w:rsidRPr="00EE10BB">
        <w:t>28</w:t>
      </w:r>
      <w:r w:rsidRPr="00EE10BB">
        <w:tab/>
        <w:t xml:space="preserve">Lim, H., Devesa, S. S., Sosa, J. A., Check, D. &amp; Kitahara, C. M. Trends in Thyroid Cancer Incidence and Mortality in the United States, 1974-2013. </w:t>
      </w:r>
      <w:r w:rsidRPr="00EE10BB">
        <w:rPr>
          <w:i/>
        </w:rPr>
        <w:t>Jama</w:t>
      </w:r>
      <w:r w:rsidRPr="00EE10BB">
        <w:t xml:space="preserve"> </w:t>
      </w:r>
      <w:r w:rsidRPr="00EE10BB">
        <w:rPr>
          <w:b/>
        </w:rPr>
        <w:t>317</w:t>
      </w:r>
      <w:r w:rsidRPr="00EE10BB">
        <w:t>, 1338-1348 (2017).</w:t>
      </w:r>
    </w:p>
    <w:p w14:paraId="62E5421B" w14:textId="77777777" w:rsidR="00EE10BB" w:rsidRPr="00EE10BB" w:rsidRDefault="00EE10BB" w:rsidP="00EE10BB">
      <w:pPr>
        <w:pStyle w:val="EndNoteBibliography"/>
        <w:spacing w:after="0"/>
        <w:ind w:left="720" w:hanging="720"/>
      </w:pPr>
      <w:r w:rsidRPr="00EE10BB">
        <w:t>29</w:t>
      </w:r>
      <w:r w:rsidRPr="00EE10BB">
        <w:tab/>
        <w:t>Sandler, D. P.</w:t>
      </w:r>
      <w:r w:rsidRPr="00EE10BB">
        <w:rPr>
          <w:i/>
        </w:rPr>
        <w:t xml:space="preserve"> et al.</w:t>
      </w:r>
      <w:r w:rsidRPr="00EE10BB">
        <w:t xml:space="preserve"> The Sister Study Cohort: Baseline Methods and Participant Characteristics. </w:t>
      </w:r>
      <w:r w:rsidRPr="00EE10BB">
        <w:rPr>
          <w:i/>
        </w:rPr>
        <w:t>Environ Health Perspect</w:t>
      </w:r>
      <w:r w:rsidRPr="00EE10BB">
        <w:t xml:space="preserve"> </w:t>
      </w:r>
      <w:r w:rsidRPr="00EE10BB">
        <w:rPr>
          <w:b/>
        </w:rPr>
        <w:t>125</w:t>
      </w:r>
      <w:r w:rsidRPr="00EE10BB">
        <w:t>, 127003 (2017).</w:t>
      </w:r>
    </w:p>
    <w:p w14:paraId="297480EA" w14:textId="66AB093D" w:rsidR="00EE10BB" w:rsidRPr="00EE10BB" w:rsidRDefault="00EE10BB" w:rsidP="00EE10BB">
      <w:pPr>
        <w:pStyle w:val="EndNoteBibliography"/>
        <w:spacing w:after="0"/>
        <w:ind w:left="720" w:hanging="720"/>
      </w:pPr>
      <w:r w:rsidRPr="00EE10BB">
        <w:t>30</w:t>
      </w:r>
      <w:r w:rsidRPr="00EE10BB">
        <w:tab/>
      </w:r>
      <w:r w:rsidRPr="00EE10BB">
        <w:rPr>
          <w:i/>
        </w:rPr>
        <w:t>Cohort participation status &amp; response rates</w:t>
      </w:r>
      <w:r w:rsidRPr="00EE10BB">
        <w:t xml:space="preserve">, </w:t>
      </w:r>
      <w:hyperlink r:id="rId11" w:history="1">
        <w:r w:rsidRPr="00EE10BB">
          <w:rPr>
            <w:rStyle w:val="Hyperlink"/>
          </w:rPr>
          <w:t>https://sisterstudy.niehs.nih.gov/English/response-rates.htm</w:t>
        </w:r>
      </w:hyperlink>
      <w:r w:rsidRPr="00EE10BB">
        <w:t xml:space="preserve"> Accessed January 2, 2023.</w:t>
      </w:r>
    </w:p>
    <w:p w14:paraId="24C8D558" w14:textId="77777777" w:rsidR="00EE10BB" w:rsidRPr="00EE10BB" w:rsidRDefault="00EE10BB" w:rsidP="00EE10BB">
      <w:pPr>
        <w:pStyle w:val="EndNoteBibliography"/>
        <w:spacing w:after="0"/>
        <w:ind w:left="720" w:hanging="720"/>
      </w:pPr>
      <w:r w:rsidRPr="00EE10BB">
        <w:t>31</w:t>
      </w:r>
      <w:r w:rsidRPr="00EE10BB">
        <w:tab/>
        <w:t xml:space="preserve">Niehoff, N. M., White, A. J. &amp; Sandler, D. P. Childhood and teenage physical activity and breast cancer risk. </w:t>
      </w:r>
      <w:r w:rsidRPr="00EE10BB">
        <w:rPr>
          <w:i/>
        </w:rPr>
        <w:t>Breast cancer research and treatment</w:t>
      </w:r>
      <w:r w:rsidRPr="00EE10BB">
        <w:t xml:space="preserve"> </w:t>
      </w:r>
      <w:r w:rsidRPr="00EE10BB">
        <w:rPr>
          <w:b/>
        </w:rPr>
        <w:t>164</w:t>
      </w:r>
      <w:r w:rsidRPr="00EE10BB">
        <w:t>, 697-705 (2017).</w:t>
      </w:r>
    </w:p>
    <w:p w14:paraId="5095A776" w14:textId="364BCF7B" w:rsidR="00EE10BB" w:rsidRPr="00EE10BB" w:rsidRDefault="00EE10BB" w:rsidP="00EE10BB">
      <w:pPr>
        <w:pStyle w:val="EndNoteBibliography"/>
        <w:spacing w:after="0"/>
        <w:ind w:left="720" w:hanging="720"/>
      </w:pPr>
      <w:r w:rsidRPr="00EE10BB">
        <w:t>32</w:t>
      </w:r>
      <w:r w:rsidRPr="00EE10BB">
        <w:tab/>
      </w:r>
      <w:r w:rsidRPr="00EE10BB">
        <w:rPr>
          <w:i/>
        </w:rPr>
        <w:t>The Sister Study baseline data collection, section: Alcohol</w:t>
      </w:r>
      <w:r w:rsidRPr="00EE10BB">
        <w:t xml:space="preserve">, </w:t>
      </w:r>
      <w:hyperlink r:id="rId12" w:history="1">
        <w:r w:rsidRPr="00EE10BB">
          <w:rPr>
            <w:rStyle w:val="Hyperlink"/>
          </w:rPr>
          <w:t>https://sisterstudy.niehs.nih.gov/English/images/docs/Sec%20AL_Alcohol_v2.08_acc.pdf</w:t>
        </w:r>
      </w:hyperlink>
      <w:r w:rsidRPr="00EE10BB">
        <w:t xml:space="preserve"> Accessed September 2, 2024.</w:t>
      </w:r>
    </w:p>
    <w:p w14:paraId="5AAA3C5C" w14:textId="77777777" w:rsidR="00EE10BB" w:rsidRPr="00EE10BB" w:rsidRDefault="00EE10BB" w:rsidP="00EE10BB">
      <w:pPr>
        <w:pStyle w:val="EndNoteBibliography"/>
        <w:spacing w:after="0"/>
        <w:ind w:left="720" w:hanging="720"/>
      </w:pPr>
      <w:r w:rsidRPr="00EE10BB">
        <w:t>33</w:t>
      </w:r>
      <w:r w:rsidRPr="00EE10BB">
        <w:tab/>
        <w:t xml:space="preserve">VanderWeele, T. J. &amp; Ding, P. Sensitivity Analysis in Observational Research: Introducing the E-Value. </w:t>
      </w:r>
      <w:r w:rsidRPr="00EE10BB">
        <w:rPr>
          <w:i/>
        </w:rPr>
        <w:t>Ann Intern Med</w:t>
      </w:r>
      <w:r w:rsidRPr="00EE10BB">
        <w:t xml:space="preserve"> </w:t>
      </w:r>
      <w:r w:rsidRPr="00EE10BB">
        <w:rPr>
          <w:b/>
        </w:rPr>
        <w:t>167</w:t>
      </w:r>
      <w:r w:rsidRPr="00EE10BB">
        <w:t>, 268-274 (2017).</w:t>
      </w:r>
    </w:p>
    <w:p w14:paraId="17E8E78B" w14:textId="77777777" w:rsidR="00EE10BB" w:rsidRPr="00EE10BB" w:rsidRDefault="00EE10BB" w:rsidP="00EE10BB">
      <w:pPr>
        <w:pStyle w:val="EndNoteBibliography"/>
        <w:spacing w:after="0"/>
        <w:ind w:left="720" w:hanging="720"/>
      </w:pPr>
      <w:r w:rsidRPr="00EE10BB">
        <w:t>34</w:t>
      </w:r>
      <w:r w:rsidRPr="00EE10BB">
        <w:tab/>
        <w:t xml:space="preserve">Mathur, M. B., Ding, P., Riddell, C. A. &amp; VanderWeele, T. J. Web Site and R Package for Computing E-values. </w:t>
      </w:r>
      <w:r w:rsidRPr="00EE10BB">
        <w:rPr>
          <w:i/>
        </w:rPr>
        <w:t>Epidemiology</w:t>
      </w:r>
      <w:r w:rsidRPr="00EE10BB">
        <w:t xml:space="preserve"> </w:t>
      </w:r>
      <w:r w:rsidRPr="00EE10BB">
        <w:rPr>
          <w:b/>
        </w:rPr>
        <w:t>29</w:t>
      </w:r>
      <w:r w:rsidRPr="00EE10BB">
        <w:t>, e45-e47 (2018).</w:t>
      </w:r>
    </w:p>
    <w:p w14:paraId="7970DA90" w14:textId="77777777" w:rsidR="00EE10BB" w:rsidRPr="00EE10BB" w:rsidRDefault="00EE10BB" w:rsidP="00EE10BB">
      <w:pPr>
        <w:pStyle w:val="EndNoteBibliography"/>
        <w:spacing w:after="0"/>
        <w:ind w:left="720" w:hanging="720"/>
      </w:pPr>
      <w:r w:rsidRPr="00EE10BB">
        <w:t>35</w:t>
      </w:r>
      <w:r w:rsidRPr="00EE10BB">
        <w:tab/>
        <w:t xml:space="preserve">Fryar, C. D., Carroll, M. D. &amp; Ogden, C. L. Prevalence of overweight, obesity, and extreme obesity among adults: United States, trends 1960–1962 through 2009–2010. </w:t>
      </w:r>
      <w:r w:rsidRPr="00EE10BB">
        <w:rPr>
          <w:i/>
        </w:rPr>
        <w:t>Hyattsville, MD: National Center for Health Statistics</w:t>
      </w:r>
      <w:r w:rsidRPr="00EE10BB">
        <w:t xml:space="preserve"> (2012).</w:t>
      </w:r>
    </w:p>
    <w:p w14:paraId="48F719A6" w14:textId="77777777" w:rsidR="00EE10BB" w:rsidRPr="00EE10BB" w:rsidRDefault="00EE10BB" w:rsidP="00EE10BB">
      <w:pPr>
        <w:pStyle w:val="EndNoteBibliography"/>
        <w:spacing w:after="0"/>
        <w:ind w:left="720" w:hanging="720"/>
      </w:pPr>
      <w:r w:rsidRPr="00EE10BB">
        <w:t>36</w:t>
      </w:r>
      <w:r w:rsidRPr="00EE10BB">
        <w:tab/>
        <w:t xml:space="preserve">Bann, D., Johnson, W., Li, L., Kuh, D. &amp; Hardy, R. Socioeconomic inequalities in childhood and adolescent body-mass index, weight, and height from 1953 to 2015: an analysis of four longitudinal, observational, British birth cohort studies. </w:t>
      </w:r>
      <w:r w:rsidRPr="00EE10BB">
        <w:rPr>
          <w:i/>
        </w:rPr>
        <w:t>Lancet Public Health</w:t>
      </w:r>
      <w:r w:rsidRPr="00EE10BB">
        <w:t xml:space="preserve"> </w:t>
      </w:r>
      <w:r w:rsidRPr="00EE10BB">
        <w:rPr>
          <w:b/>
        </w:rPr>
        <w:t>3</w:t>
      </w:r>
      <w:r w:rsidRPr="00EE10BB">
        <w:t>, e194-e203 (2018).</w:t>
      </w:r>
    </w:p>
    <w:p w14:paraId="051417FC" w14:textId="77777777" w:rsidR="00EE10BB" w:rsidRPr="00EE10BB" w:rsidRDefault="00EE10BB" w:rsidP="00EE10BB">
      <w:pPr>
        <w:pStyle w:val="EndNoteBibliography"/>
        <w:spacing w:after="0"/>
        <w:ind w:left="720" w:hanging="720"/>
      </w:pPr>
      <w:r w:rsidRPr="00EE10BB">
        <w:t>37</w:t>
      </w:r>
      <w:r w:rsidRPr="00EE10BB">
        <w:tab/>
        <w:t xml:space="preserve">Kitahara, C. M., Schneider, A. B. &amp; Brenner, A. V. 839Thyroid Cancer. In: Michael Thun, Martha S. Linet, James R. Cerhan, Christopher A. Haiman, &amp; David Schottenfeld (eds). </w:t>
      </w:r>
      <w:r w:rsidRPr="00EE10BB">
        <w:rPr>
          <w:i/>
        </w:rPr>
        <w:t>Cancer Epidemiology and Prevention</w:t>
      </w:r>
      <w:r w:rsidRPr="00EE10BB">
        <w:t xml:space="preserve">  10.1093/oso/9780190238667.003.0044   0 (Oxford University Press, 2017).</w:t>
      </w:r>
    </w:p>
    <w:p w14:paraId="6F0F22EB" w14:textId="77777777" w:rsidR="00EE10BB" w:rsidRPr="00EE10BB" w:rsidRDefault="00EE10BB" w:rsidP="00EE10BB">
      <w:pPr>
        <w:pStyle w:val="EndNoteBibliography"/>
        <w:spacing w:after="0"/>
        <w:ind w:left="720" w:hanging="720"/>
      </w:pPr>
      <w:r w:rsidRPr="00EE10BB">
        <w:t>38</w:t>
      </w:r>
      <w:r w:rsidRPr="00EE10BB">
        <w:tab/>
        <w:t xml:space="preserve">González-Rodríguez, P., Füllgrabe, J. &amp; Joseph, B. The hunger strikes back: an epigenetic memory for autophagy. </w:t>
      </w:r>
      <w:r w:rsidRPr="00EE10BB">
        <w:rPr>
          <w:i/>
        </w:rPr>
        <w:t>Cell Death Differ</w:t>
      </w:r>
      <w:r w:rsidRPr="00EE10BB">
        <w:t xml:space="preserve"> </w:t>
      </w:r>
      <w:r w:rsidRPr="00EE10BB">
        <w:rPr>
          <w:b/>
        </w:rPr>
        <w:t>30</w:t>
      </w:r>
      <w:r w:rsidRPr="00EE10BB">
        <w:t>, 1404-1415 (2023).</w:t>
      </w:r>
    </w:p>
    <w:p w14:paraId="5C713853" w14:textId="77777777" w:rsidR="00EE10BB" w:rsidRPr="00EE10BB" w:rsidRDefault="00EE10BB" w:rsidP="00EE10BB">
      <w:pPr>
        <w:pStyle w:val="EndNoteBibliography"/>
        <w:spacing w:after="0"/>
        <w:ind w:left="720" w:hanging="720"/>
      </w:pPr>
      <w:r w:rsidRPr="00EE10BB">
        <w:t>39</w:t>
      </w:r>
      <w:r w:rsidRPr="00EE10BB">
        <w:tab/>
        <w:t xml:space="preserve">Thissen, J. P., Ketelslegers, J. M. &amp; Underwood, L. E. Nutritional regulation of the insulin-like growth factors. </w:t>
      </w:r>
      <w:r w:rsidRPr="00EE10BB">
        <w:rPr>
          <w:i/>
        </w:rPr>
        <w:t>Endocr Rev</w:t>
      </w:r>
      <w:r w:rsidRPr="00EE10BB">
        <w:t xml:space="preserve"> </w:t>
      </w:r>
      <w:r w:rsidRPr="00EE10BB">
        <w:rPr>
          <w:b/>
        </w:rPr>
        <w:t>15</w:t>
      </w:r>
      <w:r w:rsidRPr="00EE10BB">
        <w:t>, 80-101 (1994).</w:t>
      </w:r>
    </w:p>
    <w:p w14:paraId="3E6E31D1" w14:textId="77777777" w:rsidR="00EE10BB" w:rsidRPr="00EE10BB" w:rsidRDefault="00EE10BB" w:rsidP="00EE10BB">
      <w:pPr>
        <w:pStyle w:val="EndNoteBibliography"/>
        <w:spacing w:after="0"/>
        <w:ind w:left="720" w:hanging="720"/>
      </w:pPr>
      <w:r w:rsidRPr="00EE10BB">
        <w:lastRenderedPageBreak/>
        <w:t>40</w:t>
      </w:r>
      <w:r w:rsidRPr="00EE10BB">
        <w:tab/>
        <w:t xml:space="preserve">Ong, K., Kratzsch, J., Kiess, W. &amp; Dunger, D. Circulating IGF-I levels in childhood are related to both current body composition and early postnatal growth rate. </w:t>
      </w:r>
      <w:r w:rsidRPr="00EE10BB">
        <w:rPr>
          <w:i/>
        </w:rPr>
        <w:t>The Journal of clinical endocrinology and metabolism</w:t>
      </w:r>
      <w:r w:rsidRPr="00EE10BB">
        <w:t xml:space="preserve"> </w:t>
      </w:r>
      <w:r w:rsidRPr="00EE10BB">
        <w:rPr>
          <w:b/>
        </w:rPr>
        <w:t>87</w:t>
      </w:r>
      <w:r w:rsidRPr="00EE10BB">
        <w:t>, 1041-1044 (2002).</w:t>
      </w:r>
    </w:p>
    <w:p w14:paraId="745E75A8" w14:textId="77777777" w:rsidR="00EE10BB" w:rsidRPr="00EE10BB" w:rsidRDefault="00EE10BB" w:rsidP="00EE10BB">
      <w:pPr>
        <w:pStyle w:val="EndNoteBibliography"/>
        <w:spacing w:after="0"/>
        <w:ind w:left="720" w:hanging="720"/>
      </w:pPr>
      <w:r w:rsidRPr="00EE10BB">
        <w:t>41</w:t>
      </w:r>
      <w:r w:rsidRPr="00EE10BB">
        <w:tab/>
        <w:t>Elias, S. G.</w:t>
      </w:r>
      <w:r w:rsidRPr="00EE10BB">
        <w:rPr>
          <w:i/>
        </w:rPr>
        <w:t xml:space="preserve"> et al.</w:t>
      </w:r>
      <w:r w:rsidRPr="00EE10BB">
        <w:t xml:space="preserve"> Long term consequences of the 1944-1945 Dutch famine on the insulin-like growth factor axis. </w:t>
      </w:r>
      <w:r w:rsidRPr="00EE10BB">
        <w:rPr>
          <w:i/>
        </w:rPr>
        <w:t>International journal of cancer</w:t>
      </w:r>
      <w:r w:rsidRPr="00EE10BB">
        <w:t xml:space="preserve"> </w:t>
      </w:r>
      <w:r w:rsidRPr="00EE10BB">
        <w:rPr>
          <w:b/>
        </w:rPr>
        <w:t>108</w:t>
      </w:r>
      <w:r w:rsidRPr="00EE10BB">
        <w:t>, 628-630 (2004).</w:t>
      </w:r>
    </w:p>
    <w:p w14:paraId="045BB185" w14:textId="77777777" w:rsidR="00EE10BB" w:rsidRPr="00EE10BB" w:rsidRDefault="00EE10BB" w:rsidP="00EE10BB">
      <w:pPr>
        <w:pStyle w:val="EndNoteBibliography"/>
        <w:spacing w:after="0"/>
        <w:ind w:left="720" w:hanging="720"/>
      </w:pPr>
      <w:r w:rsidRPr="00EE10BB">
        <w:t>42</w:t>
      </w:r>
      <w:r w:rsidRPr="00EE10BB">
        <w:tab/>
        <w:t xml:space="preserve">Pollak, M. N., Schernhammer, E. S. &amp; Hankinson, S. E. Insulin-like growth factors and neoplasia. </w:t>
      </w:r>
      <w:r w:rsidRPr="00EE10BB">
        <w:rPr>
          <w:i/>
        </w:rPr>
        <w:t>Nat Rev Cancer</w:t>
      </w:r>
      <w:r w:rsidRPr="00EE10BB">
        <w:t xml:space="preserve"> </w:t>
      </w:r>
      <w:r w:rsidRPr="00EE10BB">
        <w:rPr>
          <w:b/>
        </w:rPr>
        <w:t>4</w:t>
      </w:r>
      <w:r w:rsidRPr="00EE10BB">
        <w:t>, 505-518 (2004).</w:t>
      </w:r>
    </w:p>
    <w:p w14:paraId="613EF86D" w14:textId="77777777" w:rsidR="00EE10BB" w:rsidRPr="00EE10BB" w:rsidRDefault="00EE10BB" w:rsidP="00EE10BB">
      <w:pPr>
        <w:pStyle w:val="EndNoteBibliography"/>
        <w:spacing w:after="0"/>
        <w:ind w:left="720" w:hanging="720"/>
      </w:pPr>
      <w:r w:rsidRPr="00EE10BB">
        <w:t>43</w:t>
      </w:r>
      <w:r w:rsidRPr="00EE10BB">
        <w:tab/>
        <w:t xml:space="preserve">Karagiannis, A., Kassi, E., Chatzigeorgiou, A. &amp; Koutsilieris, M. IGF Bioregulation System in Benign and Malignant Thyroid Nodular Disease: A Systematic Review. </w:t>
      </w:r>
      <w:r w:rsidRPr="00EE10BB">
        <w:rPr>
          <w:i/>
        </w:rPr>
        <w:t>In Vivo</w:t>
      </w:r>
      <w:r w:rsidRPr="00EE10BB">
        <w:t xml:space="preserve"> </w:t>
      </w:r>
      <w:r w:rsidRPr="00EE10BB">
        <w:rPr>
          <w:b/>
        </w:rPr>
        <w:t>34</w:t>
      </w:r>
      <w:r w:rsidRPr="00EE10BB">
        <w:t>, 3069-3091 (2020).</w:t>
      </w:r>
    </w:p>
    <w:p w14:paraId="6F6A12A0" w14:textId="77777777" w:rsidR="00EE10BB" w:rsidRPr="00EE10BB" w:rsidRDefault="00EE10BB" w:rsidP="00EE10BB">
      <w:pPr>
        <w:pStyle w:val="EndNoteBibliography"/>
        <w:spacing w:after="0"/>
        <w:ind w:left="720" w:hanging="720"/>
      </w:pPr>
      <w:r w:rsidRPr="00EE10BB">
        <w:t>44</w:t>
      </w:r>
      <w:r w:rsidRPr="00EE10BB">
        <w:tab/>
        <w:t xml:space="preserve">Siegel, G. &amp; Tomer, Y. Is there an association between acromegaly and thyroid carcinoma? A critical review of the literature. </w:t>
      </w:r>
      <w:r w:rsidRPr="00EE10BB">
        <w:rPr>
          <w:i/>
        </w:rPr>
        <w:t>Endocr Res</w:t>
      </w:r>
      <w:r w:rsidRPr="00EE10BB">
        <w:t xml:space="preserve"> </w:t>
      </w:r>
      <w:r w:rsidRPr="00EE10BB">
        <w:rPr>
          <w:b/>
        </w:rPr>
        <w:t>31</w:t>
      </w:r>
      <w:r w:rsidRPr="00EE10BB">
        <w:t>, 51-58 (2005).</w:t>
      </w:r>
    </w:p>
    <w:p w14:paraId="568B4BD5" w14:textId="77777777" w:rsidR="00EE10BB" w:rsidRPr="00EE10BB" w:rsidRDefault="00EE10BB" w:rsidP="00EE10BB">
      <w:pPr>
        <w:pStyle w:val="EndNoteBibliography"/>
        <w:spacing w:after="0"/>
        <w:ind w:left="720" w:hanging="720"/>
      </w:pPr>
      <w:r w:rsidRPr="00EE10BB">
        <w:t>45</w:t>
      </w:r>
      <w:r w:rsidRPr="00EE10BB">
        <w:tab/>
        <w:t>Dal, J.</w:t>
      </w:r>
      <w:r w:rsidRPr="00EE10BB">
        <w:rPr>
          <w:i/>
        </w:rPr>
        <w:t xml:space="preserve"> et al.</w:t>
      </w:r>
      <w:r w:rsidRPr="00EE10BB">
        <w:t xml:space="preserve"> Cancer Incidence in Patients With Acromegaly: A Cohort Study and Meta-Analysis of the Literature. </w:t>
      </w:r>
      <w:r w:rsidRPr="00EE10BB">
        <w:rPr>
          <w:i/>
        </w:rPr>
        <w:t>The Journal of clinical endocrinology and metabolism</w:t>
      </w:r>
      <w:r w:rsidRPr="00EE10BB">
        <w:t xml:space="preserve"> </w:t>
      </w:r>
      <w:r w:rsidRPr="00EE10BB">
        <w:rPr>
          <w:b/>
        </w:rPr>
        <w:t>103</w:t>
      </w:r>
      <w:r w:rsidRPr="00EE10BB">
        <w:t>, 2182-2188 (2018).</w:t>
      </w:r>
    </w:p>
    <w:p w14:paraId="2ED698E1" w14:textId="77777777" w:rsidR="00EE10BB" w:rsidRPr="00EE10BB" w:rsidRDefault="00EE10BB" w:rsidP="00EE10BB">
      <w:pPr>
        <w:pStyle w:val="EndNoteBibliography"/>
        <w:spacing w:after="0"/>
        <w:ind w:left="720" w:hanging="720"/>
      </w:pPr>
      <w:r w:rsidRPr="00EE10BB">
        <w:t>46</w:t>
      </w:r>
      <w:r w:rsidRPr="00EE10BB">
        <w:tab/>
        <w:t>Schmidt, J. A.</w:t>
      </w:r>
      <w:r w:rsidRPr="00EE10BB">
        <w:rPr>
          <w:i/>
        </w:rPr>
        <w:t xml:space="preserve"> et al.</w:t>
      </w:r>
      <w:r w:rsidRPr="00EE10BB">
        <w:t xml:space="preserve"> Insulin-like growth factor-i and risk of differentiated thyroid carcinoma in the European prospective investigation into cancer and nutrition. </w:t>
      </w:r>
      <w:r w:rsidRPr="00EE10BB">
        <w:rPr>
          <w:i/>
        </w:rPr>
        <w:t>Cancer epidemiology, biomarkers &amp; prevention : a publication of the American Association for Cancer Research, cosponsored by the American Society of Preventive Oncology</w:t>
      </w:r>
      <w:r w:rsidRPr="00EE10BB">
        <w:t xml:space="preserve"> </w:t>
      </w:r>
      <w:r w:rsidRPr="00EE10BB">
        <w:rPr>
          <w:b/>
        </w:rPr>
        <w:t>23</w:t>
      </w:r>
      <w:r w:rsidRPr="00EE10BB">
        <w:t>, 976-985 (2014).</w:t>
      </w:r>
    </w:p>
    <w:p w14:paraId="0C902544" w14:textId="77777777" w:rsidR="00EE10BB" w:rsidRPr="00EE10BB" w:rsidRDefault="00EE10BB" w:rsidP="00EE10BB">
      <w:pPr>
        <w:pStyle w:val="EndNoteBibliography"/>
        <w:spacing w:after="0"/>
        <w:ind w:left="720" w:hanging="720"/>
      </w:pPr>
      <w:r w:rsidRPr="00EE10BB">
        <w:t>47</w:t>
      </w:r>
      <w:r w:rsidRPr="00EE10BB">
        <w:tab/>
        <w:t>Knuppel, A.</w:t>
      </w:r>
      <w:r w:rsidRPr="00EE10BB">
        <w:rPr>
          <w:i/>
        </w:rPr>
        <w:t xml:space="preserve"> et al.</w:t>
      </w:r>
      <w:r w:rsidRPr="00EE10BB">
        <w:t xml:space="preserve"> Circulating Insulin-like Growth Factor-I Concentrations and Risk of 30 Cancers: Prospective Analyses in UK Biobank. </w:t>
      </w:r>
      <w:r w:rsidRPr="00EE10BB">
        <w:rPr>
          <w:i/>
        </w:rPr>
        <w:t>Cancer research</w:t>
      </w:r>
      <w:r w:rsidRPr="00EE10BB">
        <w:t xml:space="preserve"> </w:t>
      </w:r>
      <w:r w:rsidRPr="00EE10BB">
        <w:rPr>
          <w:b/>
        </w:rPr>
        <w:t>80</w:t>
      </w:r>
      <w:r w:rsidRPr="00EE10BB">
        <w:t>, 4014-4021 (2020).</w:t>
      </w:r>
    </w:p>
    <w:p w14:paraId="3E91EDA8" w14:textId="77777777" w:rsidR="00EE10BB" w:rsidRPr="00EE10BB" w:rsidRDefault="00EE10BB" w:rsidP="00EE10BB">
      <w:pPr>
        <w:pStyle w:val="EndNoteBibliography"/>
        <w:spacing w:after="0"/>
        <w:ind w:left="720" w:hanging="720"/>
      </w:pPr>
      <w:r w:rsidRPr="00EE10BB">
        <w:t>48</w:t>
      </w:r>
      <w:r w:rsidRPr="00EE10BB">
        <w:tab/>
        <w:t xml:space="preserve">Piper, J. M. &amp; Kennedy, D. L. Oral contraceptives in the United States: trends in content and potency. </w:t>
      </w:r>
      <w:r w:rsidRPr="00EE10BB">
        <w:rPr>
          <w:i/>
        </w:rPr>
        <w:t>International journal of epidemiology</w:t>
      </w:r>
      <w:r w:rsidRPr="00EE10BB">
        <w:t xml:space="preserve"> </w:t>
      </w:r>
      <w:r w:rsidRPr="00EE10BB">
        <w:rPr>
          <w:b/>
        </w:rPr>
        <w:t>16</w:t>
      </w:r>
      <w:r w:rsidRPr="00EE10BB">
        <w:t>, 215-221 (1987).</w:t>
      </w:r>
    </w:p>
    <w:p w14:paraId="42083549" w14:textId="77777777" w:rsidR="00EE10BB" w:rsidRPr="00EE10BB" w:rsidRDefault="00EE10BB" w:rsidP="00EE10BB">
      <w:pPr>
        <w:pStyle w:val="EndNoteBibliography"/>
        <w:spacing w:after="0"/>
        <w:ind w:left="720" w:hanging="720"/>
      </w:pPr>
      <w:r w:rsidRPr="00EE10BB">
        <w:t>49</w:t>
      </w:r>
      <w:r w:rsidRPr="00EE10BB">
        <w:tab/>
        <w:t xml:space="preserve">Gallo, M. F., Nanda, K., Grimes, D. A., Lopez, L. M. &amp; Schulz, K. F. 20 µg versus &gt;20 µg estrogen combined oral contraceptives for contraception. </w:t>
      </w:r>
      <w:r w:rsidRPr="00EE10BB">
        <w:rPr>
          <w:i/>
        </w:rPr>
        <w:t>Cochrane Database Syst Rev</w:t>
      </w:r>
      <w:r w:rsidRPr="00EE10BB">
        <w:t xml:space="preserve"> </w:t>
      </w:r>
      <w:r w:rsidRPr="00EE10BB">
        <w:rPr>
          <w:b/>
        </w:rPr>
        <w:t>2013</w:t>
      </w:r>
      <w:r w:rsidRPr="00EE10BB">
        <w:t>, Cd003989 (2013).</w:t>
      </w:r>
    </w:p>
    <w:p w14:paraId="206D1636" w14:textId="5DD4545E" w:rsidR="00EE10BB" w:rsidRPr="00EE10BB" w:rsidRDefault="00EE10BB" w:rsidP="00EE10BB">
      <w:pPr>
        <w:pStyle w:val="EndNoteBibliography"/>
        <w:spacing w:after="0"/>
        <w:ind w:left="720" w:hanging="720"/>
      </w:pPr>
      <w:r w:rsidRPr="00EE10BB">
        <w:t>50</w:t>
      </w:r>
      <w:r w:rsidRPr="00EE10BB">
        <w:tab/>
        <w:t xml:space="preserve">National Institute of Diabetes and Digestive and Kidney Diseases. </w:t>
      </w:r>
      <w:r w:rsidRPr="00EE10BB">
        <w:rPr>
          <w:i/>
        </w:rPr>
        <w:t>Overweight &amp; Obesity Statistics</w:t>
      </w:r>
      <w:r w:rsidRPr="00EE10BB">
        <w:t xml:space="preserve">, </w:t>
      </w:r>
      <w:hyperlink r:id="rId13" w:history="1">
        <w:r w:rsidRPr="00EE10BB">
          <w:rPr>
            <w:rStyle w:val="Hyperlink"/>
          </w:rPr>
          <w:t>https://www.niddk.nih.gov/health-information/health-statistics/overweight-obesity</w:t>
        </w:r>
      </w:hyperlink>
      <w:r w:rsidRPr="00EE10BB">
        <w:t xml:space="preserve"> Accessed August 08, 2024.</w:t>
      </w:r>
    </w:p>
    <w:p w14:paraId="49B9DE39" w14:textId="77777777" w:rsidR="00EE10BB" w:rsidRPr="00EE10BB" w:rsidRDefault="00EE10BB" w:rsidP="00EE10BB">
      <w:pPr>
        <w:pStyle w:val="EndNoteBibliography"/>
        <w:ind w:left="720" w:hanging="720"/>
      </w:pPr>
      <w:r w:rsidRPr="00EE10BB">
        <w:t>51</w:t>
      </w:r>
      <w:r w:rsidRPr="00EE10BB">
        <w:tab/>
        <w:t xml:space="preserve">NCD Risk Factor Collaboration (NCD-RisC). Worldwide trends in underweight and obesity from 1990 to 2022: a pooled analysis of 3663 population-representative studies with 222 million children, adolescents, and adults. </w:t>
      </w:r>
      <w:r w:rsidRPr="00EE10BB">
        <w:rPr>
          <w:i/>
        </w:rPr>
        <w:t>Lancet (London, England)</w:t>
      </w:r>
      <w:r w:rsidRPr="00EE10BB">
        <w:t xml:space="preserve"> </w:t>
      </w:r>
      <w:r w:rsidRPr="00EE10BB">
        <w:rPr>
          <w:b/>
        </w:rPr>
        <w:t>403</w:t>
      </w:r>
      <w:r w:rsidRPr="00EE10BB">
        <w:t>, 1027-1050 (2024).</w:t>
      </w:r>
    </w:p>
    <w:p w14:paraId="7A571163" w14:textId="71B862F9" w:rsidR="00DB3EF0" w:rsidRDefault="00E46B4A" w:rsidP="00DB3EF0">
      <w:pPr>
        <w:rPr>
          <w:lang w:eastAsia="ja-JP"/>
        </w:rPr>
      </w:pPr>
      <w:r>
        <w:rPr>
          <w:lang w:eastAsia="ja-JP"/>
        </w:rPr>
        <w:fldChar w:fldCharType="end"/>
      </w:r>
      <w:bookmarkEnd w:id="5"/>
    </w:p>
    <w:p w14:paraId="0A85663B" w14:textId="23E146F5" w:rsidR="00BA264F" w:rsidRDefault="00BA264F">
      <w:pPr>
        <w:rPr>
          <w:lang w:eastAsia="ja-JP"/>
        </w:rPr>
      </w:pPr>
      <w:r>
        <w:rPr>
          <w:lang w:eastAsia="ja-JP"/>
        </w:rPr>
        <w:br w:type="page"/>
      </w:r>
    </w:p>
    <w:p w14:paraId="0C8168A3"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lastRenderedPageBreak/>
        <w:t>Author Contribution statement</w:t>
      </w:r>
    </w:p>
    <w:p w14:paraId="5B97F61A"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T.V.T.T. contributed to the analysis, interpretation, drafting of the article, and approval of the final version; C.M.K. contributed to the concept, interpretation, critical review of the manuscript, and approval of the final version; K.O., R.T., and D.S. contributed to the interpretation, critical review of the manuscript, and approval of the final version.</w:t>
      </w:r>
    </w:p>
    <w:p w14:paraId="6FC928D2"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All authors have no disclosure to report.</w:t>
      </w:r>
    </w:p>
    <w:p w14:paraId="132FF747"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t>Funding statement</w:t>
      </w:r>
    </w:p>
    <w:p w14:paraId="322E235B"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 xml:space="preserve">This research was funded by the Intramural Research Program of the National Cancer Institute, </w:t>
      </w:r>
      <w:r>
        <w:rPr>
          <w:rFonts w:cstheme="minorHAnsi"/>
          <w:shd w:val="clear" w:color="auto" w:fill="FFFFFF"/>
        </w:rPr>
        <w:t>and</w:t>
      </w:r>
      <w:r w:rsidRPr="0037381F">
        <w:rPr>
          <w:rFonts w:cstheme="minorHAnsi"/>
          <w:shd w:val="clear" w:color="auto" w:fill="FFFFFF"/>
        </w:rPr>
        <w:t xml:space="preserve"> the Intramural Research Program of the National Institute of Environmental Health Sciences, National Institutes of Health (Z1AES044005 to D.P.S.).</w:t>
      </w:r>
    </w:p>
    <w:p w14:paraId="2F0F1541" w14:textId="77777777" w:rsidR="00BA264F" w:rsidRPr="00A45EDC" w:rsidRDefault="00BA264F" w:rsidP="00BA264F">
      <w:pPr>
        <w:spacing w:after="240" w:line="360" w:lineRule="auto"/>
        <w:jc w:val="both"/>
        <w:rPr>
          <w:rFonts w:cstheme="minorHAnsi"/>
          <w:b/>
          <w:color w:val="000000"/>
        </w:rPr>
      </w:pPr>
      <w:r w:rsidRPr="00A45EDC">
        <w:rPr>
          <w:rStyle w:val="Heading1Char"/>
          <w:rFonts w:cstheme="minorHAnsi"/>
        </w:rPr>
        <w:t>Correspondence to:</w:t>
      </w:r>
      <w:r w:rsidRPr="00A45EDC">
        <w:rPr>
          <w:rFonts w:cstheme="minorHAnsi"/>
          <w:b/>
          <w:color w:val="000000"/>
        </w:rPr>
        <w:t xml:space="preserve"> </w:t>
      </w:r>
    </w:p>
    <w:p w14:paraId="70AF251E" w14:textId="77777777" w:rsidR="00BA264F" w:rsidRPr="00A45EDC" w:rsidRDefault="00BA264F" w:rsidP="00BA264F">
      <w:pPr>
        <w:spacing w:after="240" w:line="360" w:lineRule="auto"/>
        <w:jc w:val="both"/>
        <w:rPr>
          <w:rFonts w:cstheme="minorHAnsi"/>
          <w:bCs/>
          <w:color w:val="000000"/>
        </w:rPr>
      </w:pPr>
      <w:r w:rsidRPr="00A45EDC">
        <w:rPr>
          <w:rFonts w:cstheme="minorHAnsi"/>
          <w:bCs/>
          <w:color w:val="000000"/>
        </w:rPr>
        <w:t>Cari M. Kitahara, PhD, MHS, 9609 Medical Center Drive, Rm 7E-456, Bethesda, MD 20892, kitaharac@mail.nih.gov</w:t>
      </w:r>
    </w:p>
    <w:p w14:paraId="146BF422" w14:textId="77777777" w:rsidR="00DC26E9" w:rsidRDefault="00DC26E9" w:rsidP="00DB3EF0">
      <w:pPr>
        <w:rPr>
          <w:lang w:eastAsia="ja-JP"/>
        </w:rPr>
      </w:pPr>
    </w:p>
    <w:p w14:paraId="6E9D9B7B" w14:textId="77777777" w:rsidR="00DC26E9" w:rsidRDefault="00DC26E9" w:rsidP="00DB3EF0">
      <w:pPr>
        <w:rPr>
          <w:lang w:eastAsia="ja-JP"/>
        </w:rPr>
      </w:pPr>
    </w:p>
    <w:p w14:paraId="7C2C0821" w14:textId="77777777" w:rsidR="00DC26E9" w:rsidRPr="008C37FB" w:rsidRDefault="00DC26E9" w:rsidP="00DC26E9">
      <w:pPr>
        <w:spacing w:line="360" w:lineRule="auto"/>
        <w:jc w:val="both"/>
        <w:rPr>
          <w:rFonts w:cstheme="minorHAnsi"/>
        </w:rPr>
      </w:pPr>
    </w:p>
    <w:bookmarkEnd w:id="1"/>
    <w:p w14:paraId="702554DD" w14:textId="77777777" w:rsidR="00DC26E9" w:rsidRPr="00DB3EF0" w:rsidRDefault="00DC26E9" w:rsidP="00DB3EF0">
      <w:pPr>
        <w:rPr>
          <w:lang w:eastAsia="ja-JP"/>
        </w:rPr>
      </w:pPr>
    </w:p>
    <w:sectPr w:rsidR="00DC26E9" w:rsidRPr="00DB3EF0" w:rsidSect="00E679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75ABA"/>
    <w:multiLevelType w:val="hybridMultilevel"/>
    <w:tmpl w:val="A3241234"/>
    <w:lvl w:ilvl="0" w:tplc="934425A6">
      <w:start w:val="1"/>
      <w:numFmt w:val="decimal"/>
      <w:lvlText w:val="%1)"/>
      <w:lvlJc w:val="left"/>
      <w:pPr>
        <w:ind w:left="1080" w:hanging="360"/>
      </w:pPr>
    </w:lvl>
    <w:lvl w:ilvl="1" w:tplc="BBC63818">
      <w:start w:val="1"/>
      <w:numFmt w:val="decimal"/>
      <w:lvlText w:val="%2)"/>
      <w:lvlJc w:val="left"/>
      <w:pPr>
        <w:ind w:left="1080" w:hanging="360"/>
      </w:pPr>
    </w:lvl>
    <w:lvl w:ilvl="2" w:tplc="52C262AE">
      <w:start w:val="1"/>
      <w:numFmt w:val="decimal"/>
      <w:lvlText w:val="%3)"/>
      <w:lvlJc w:val="left"/>
      <w:pPr>
        <w:ind w:left="1080" w:hanging="360"/>
      </w:pPr>
    </w:lvl>
    <w:lvl w:ilvl="3" w:tplc="3E78D8DA">
      <w:start w:val="1"/>
      <w:numFmt w:val="decimal"/>
      <w:lvlText w:val="%4)"/>
      <w:lvlJc w:val="left"/>
      <w:pPr>
        <w:ind w:left="1080" w:hanging="360"/>
      </w:pPr>
    </w:lvl>
    <w:lvl w:ilvl="4" w:tplc="AC0A750A">
      <w:start w:val="1"/>
      <w:numFmt w:val="decimal"/>
      <w:lvlText w:val="%5)"/>
      <w:lvlJc w:val="left"/>
      <w:pPr>
        <w:ind w:left="1080" w:hanging="360"/>
      </w:pPr>
    </w:lvl>
    <w:lvl w:ilvl="5" w:tplc="802EC202">
      <w:start w:val="1"/>
      <w:numFmt w:val="decimal"/>
      <w:lvlText w:val="%6)"/>
      <w:lvlJc w:val="left"/>
      <w:pPr>
        <w:ind w:left="1080" w:hanging="360"/>
      </w:pPr>
    </w:lvl>
    <w:lvl w:ilvl="6" w:tplc="5E927E02">
      <w:start w:val="1"/>
      <w:numFmt w:val="decimal"/>
      <w:lvlText w:val="%7)"/>
      <w:lvlJc w:val="left"/>
      <w:pPr>
        <w:ind w:left="1080" w:hanging="360"/>
      </w:pPr>
    </w:lvl>
    <w:lvl w:ilvl="7" w:tplc="76F2AF2E">
      <w:start w:val="1"/>
      <w:numFmt w:val="decimal"/>
      <w:lvlText w:val="%8)"/>
      <w:lvlJc w:val="left"/>
      <w:pPr>
        <w:ind w:left="1080" w:hanging="360"/>
      </w:pPr>
    </w:lvl>
    <w:lvl w:ilvl="8" w:tplc="0BEA84B8">
      <w:start w:val="1"/>
      <w:numFmt w:val="decimal"/>
      <w:lvlText w:val="%9)"/>
      <w:lvlJc w:val="left"/>
      <w:pPr>
        <w:ind w:left="1080" w:hanging="360"/>
      </w:pPr>
    </w:lvl>
  </w:abstractNum>
  <w:abstractNum w:abstractNumId="1" w15:restartNumberingAfterBreak="0">
    <w:nsid w:val="5BE940F0"/>
    <w:multiLevelType w:val="multilevel"/>
    <w:tmpl w:val="D90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20716"/>
    <w:multiLevelType w:val="multilevel"/>
    <w:tmpl w:val="1A4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8385">
    <w:abstractNumId w:val="2"/>
  </w:num>
  <w:num w:numId="2" w16cid:durableId="581916684">
    <w:abstractNumId w:val="1"/>
  </w:num>
  <w:num w:numId="3" w16cid:durableId="38079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rit J Canc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eeap9akwrsete9ft3xp2puxwwrw9ev5fd0&quot;&gt;_EN_Thyroid dysfunction and breast cancer UKB-Converted-Saved&lt;record-ids&gt;&lt;item&gt;221&lt;/item&gt;&lt;item&gt;264&lt;/item&gt;&lt;item&gt;334&lt;/item&gt;&lt;item&gt;343&lt;/item&gt;&lt;item&gt;344&lt;/item&gt;&lt;item&gt;362&lt;/item&gt;&lt;item&gt;367&lt;/item&gt;&lt;item&gt;391&lt;/item&gt;&lt;item&gt;392&lt;/item&gt;&lt;item&gt;393&lt;/item&gt;&lt;item&gt;394&lt;/item&gt;&lt;item&gt;395&lt;/item&gt;&lt;item&gt;396&lt;/item&gt;&lt;item&gt;397&lt;/item&gt;&lt;item&gt;398&lt;/item&gt;&lt;item&gt;399&lt;/item&gt;&lt;item&gt;401&lt;/item&gt;&lt;item&gt;403&lt;/item&gt;&lt;item&gt;404&lt;/item&gt;&lt;item&gt;417&lt;/item&gt;&lt;item&gt;418&lt;/item&gt;&lt;item&gt;419&lt;/item&gt;&lt;item&gt;420&lt;/item&gt;&lt;item&gt;421&lt;/item&gt;&lt;item&gt;422&lt;/item&gt;&lt;item&gt;423&lt;/item&gt;&lt;item&gt;424&lt;/item&gt;&lt;item&gt;426&lt;/item&gt;&lt;item&gt;427&lt;/item&gt;&lt;item&gt;428&lt;/item&gt;&lt;item&gt;429&lt;/item&gt;&lt;item&gt;430&lt;/item&gt;&lt;item&gt;431&lt;/item&gt;&lt;item&gt;432&lt;/item&gt;&lt;item&gt;433&lt;/item&gt;&lt;item&gt;434&lt;/item&gt;&lt;item&gt;435&lt;/item&gt;&lt;item&gt;436&lt;/item&gt;&lt;item&gt;438&lt;/item&gt;&lt;item&gt;440&lt;/item&gt;&lt;item&gt;441&lt;/item&gt;&lt;item&gt;442&lt;/item&gt;&lt;item&gt;444&lt;/item&gt;&lt;item&gt;445&lt;/item&gt;&lt;item&gt;446&lt;/item&gt;&lt;item&gt;447&lt;/item&gt;&lt;item&gt;448&lt;/item&gt;&lt;item&gt;449&lt;/item&gt;&lt;item&gt;450&lt;/item&gt;&lt;item&gt;451&lt;/item&gt;&lt;item&gt;452&lt;/item&gt;&lt;/record-ids&gt;&lt;/item&gt;&lt;/Libraries&gt;"/>
  </w:docVars>
  <w:rsids>
    <w:rsidRoot w:val="00A93E10"/>
    <w:rsid w:val="00000EC8"/>
    <w:rsid w:val="000017BE"/>
    <w:rsid w:val="000039B6"/>
    <w:rsid w:val="00003C12"/>
    <w:rsid w:val="000052A6"/>
    <w:rsid w:val="000065EC"/>
    <w:rsid w:val="00006EE2"/>
    <w:rsid w:val="000103FD"/>
    <w:rsid w:val="00010459"/>
    <w:rsid w:val="00010B46"/>
    <w:rsid w:val="00010E04"/>
    <w:rsid w:val="00011DEC"/>
    <w:rsid w:val="00012640"/>
    <w:rsid w:val="00012788"/>
    <w:rsid w:val="000127B7"/>
    <w:rsid w:val="00012C0E"/>
    <w:rsid w:val="00013ED0"/>
    <w:rsid w:val="000163BB"/>
    <w:rsid w:val="00016DEE"/>
    <w:rsid w:val="000175FC"/>
    <w:rsid w:val="00020562"/>
    <w:rsid w:val="00020598"/>
    <w:rsid w:val="000205B2"/>
    <w:rsid w:val="00020A06"/>
    <w:rsid w:val="00021B4F"/>
    <w:rsid w:val="00022419"/>
    <w:rsid w:val="0002375A"/>
    <w:rsid w:val="00023F2F"/>
    <w:rsid w:val="00024382"/>
    <w:rsid w:val="000251E6"/>
    <w:rsid w:val="000257C8"/>
    <w:rsid w:val="000267CF"/>
    <w:rsid w:val="00026ACF"/>
    <w:rsid w:val="00026C63"/>
    <w:rsid w:val="00026CC3"/>
    <w:rsid w:val="00026ED0"/>
    <w:rsid w:val="00027076"/>
    <w:rsid w:val="000270E8"/>
    <w:rsid w:val="0002788C"/>
    <w:rsid w:val="00027B52"/>
    <w:rsid w:val="00027D7C"/>
    <w:rsid w:val="00030F0A"/>
    <w:rsid w:val="00030FEE"/>
    <w:rsid w:val="000316EE"/>
    <w:rsid w:val="00031EF9"/>
    <w:rsid w:val="00032870"/>
    <w:rsid w:val="00032F82"/>
    <w:rsid w:val="00034F07"/>
    <w:rsid w:val="00034F40"/>
    <w:rsid w:val="00035D5D"/>
    <w:rsid w:val="00036F7B"/>
    <w:rsid w:val="000420A2"/>
    <w:rsid w:val="0004288A"/>
    <w:rsid w:val="000445D6"/>
    <w:rsid w:val="00044A1B"/>
    <w:rsid w:val="00045994"/>
    <w:rsid w:val="0004613D"/>
    <w:rsid w:val="0004622F"/>
    <w:rsid w:val="00046842"/>
    <w:rsid w:val="00046DB8"/>
    <w:rsid w:val="00047CF6"/>
    <w:rsid w:val="00047EF9"/>
    <w:rsid w:val="00047F34"/>
    <w:rsid w:val="0005089F"/>
    <w:rsid w:val="00051263"/>
    <w:rsid w:val="000529CB"/>
    <w:rsid w:val="00054FCB"/>
    <w:rsid w:val="000551F0"/>
    <w:rsid w:val="00055CFC"/>
    <w:rsid w:val="0005694B"/>
    <w:rsid w:val="00057987"/>
    <w:rsid w:val="00057D7D"/>
    <w:rsid w:val="000603DA"/>
    <w:rsid w:val="00061639"/>
    <w:rsid w:val="00061CDC"/>
    <w:rsid w:val="00062D7A"/>
    <w:rsid w:val="00062D9F"/>
    <w:rsid w:val="000637C1"/>
    <w:rsid w:val="000638D3"/>
    <w:rsid w:val="00063EB5"/>
    <w:rsid w:val="000646F9"/>
    <w:rsid w:val="00065A85"/>
    <w:rsid w:val="00065E21"/>
    <w:rsid w:val="00067649"/>
    <w:rsid w:val="000703F5"/>
    <w:rsid w:val="00070F47"/>
    <w:rsid w:val="0007133C"/>
    <w:rsid w:val="00071AF1"/>
    <w:rsid w:val="00072730"/>
    <w:rsid w:val="0007366E"/>
    <w:rsid w:val="00073B9E"/>
    <w:rsid w:val="00073E42"/>
    <w:rsid w:val="00073E8E"/>
    <w:rsid w:val="00074618"/>
    <w:rsid w:val="00074A32"/>
    <w:rsid w:val="00076DC6"/>
    <w:rsid w:val="00077378"/>
    <w:rsid w:val="000779C1"/>
    <w:rsid w:val="00077A79"/>
    <w:rsid w:val="000828D3"/>
    <w:rsid w:val="00082DF8"/>
    <w:rsid w:val="000839B1"/>
    <w:rsid w:val="000839DD"/>
    <w:rsid w:val="00083ED9"/>
    <w:rsid w:val="0008415E"/>
    <w:rsid w:val="00085997"/>
    <w:rsid w:val="00086538"/>
    <w:rsid w:val="00086710"/>
    <w:rsid w:val="00086B4B"/>
    <w:rsid w:val="000871D4"/>
    <w:rsid w:val="000872C9"/>
    <w:rsid w:val="000902A3"/>
    <w:rsid w:val="000906EE"/>
    <w:rsid w:val="00091207"/>
    <w:rsid w:val="00092766"/>
    <w:rsid w:val="000945C2"/>
    <w:rsid w:val="000952DF"/>
    <w:rsid w:val="0009580D"/>
    <w:rsid w:val="000959DB"/>
    <w:rsid w:val="00095BA8"/>
    <w:rsid w:val="00097828"/>
    <w:rsid w:val="000A0402"/>
    <w:rsid w:val="000A13A6"/>
    <w:rsid w:val="000A1775"/>
    <w:rsid w:val="000A2C9E"/>
    <w:rsid w:val="000A2CDD"/>
    <w:rsid w:val="000A2D5E"/>
    <w:rsid w:val="000A3A6D"/>
    <w:rsid w:val="000A3DAE"/>
    <w:rsid w:val="000A439D"/>
    <w:rsid w:val="000A49F7"/>
    <w:rsid w:val="000A4C31"/>
    <w:rsid w:val="000A521C"/>
    <w:rsid w:val="000A5238"/>
    <w:rsid w:val="000B075F"/>
    <w:rsid w:val="000B18AA"/>
    <w:rsid w:val="000B19ED"/>
    <w:rsid w:val="000B2335"/>
    <w:rsid w:val="000B2CDD"/>
    <w:rsid w:val="000B2D1C"/>
    <w:rsid w:val="000B3491"/>
    <w:rsid w:val="000B471C"/>
    <w:rsid w:val="000B671B"/>
    <w:rsid w:val="000B7CA7"/>
    <w:rsid w:val="000C0520"/>
    <w:rsid w:val="000C212A"/>
    <w:rsid w:val="000C445C"/>
    <w:rsid w:val="000C7C1D"/>
    <w:rsid w:val="000C7E0A"/>
    <w:rsid w:val="000D04F0"/>
    <w:rsid w:val="000D274A"/>
    <w:rsid w:val="000D29C9"/>
    <w:rsid w:val="000D3093"/>
    <w:rsid w:val="000D3BC1"/>
    <w:rsid w:val="000D3C0D"/>
    <w:rsid w:val="000D4967"/>
    <w:rsid w:val="000D5960"/>
    <w:rsid w:val="000D5CEC"/>
    <w:rsid w:val="000D5ECA"/>
    <w:rsid w:val="000E0003"/>
    <w:rsid w:val="000E0FA0"/>
    <w:rsid w:val="000E10D7"/>
    <w:rsid w:val="000E1913"/>
    <w:rsid w:val="000E3671"/>
    <w:rsid w:val="000E3FC8"/>
    <w:rsid w:val="000E44A8"/>
    <w:rsid w:val="000E497E"/>
    <w:rsid w:val="000E553C"/>
    <w:rsid w:val="000E5685"/>
    <w:rsid w:val="000E5C9E"/>
    <w:rsid w:val="000F16A3"/>
    <w:rsid w:val="000F40A6"/>
    <w:rsid w:val="000F42C1"/>
    <w:rsid w:val="000F5624"/>
    <w:rsid w:val="000F6F9B"/>
    <w:rsid w:val="000F71E5"/>
    <w:rsid w:val="000F7A7E"/>
    <w:rsid w:val="00100172"/>
    <w:rsid w:val="00101883"/>
    <w:rsid w:val="00101B91"/>
    <w:rsid w:val="0010305E"/>
    <w:rsid w:val="001031BA"/>
    <w:rsid w:val="00103D0B"/>
    <w:rsid w:val="00107BA0"/>
    <w:rsid w:val="001119AF"/>
    <w:rsid w:val="00112A1A"/>
    <w:rsid w:val="00112ACC"/>
    <w:rsid w:val="0011662B"/>
    <w:rsid w:val="00117A75"/>
    <w:rsid w:val="00117C9B"/>
    <w:rsid w:val="00120CA1"/>
    <w:rsid w:val="001212CD"/>
    <w:rsid w:val="00121B60"/>
    <w:rsid w:val="00121FDF"/>
    <w:rsid w:val="0012227C"/>
    <w:rsid w:val="0012427D"/>
    <w:rsid w:val="00124742"/>
    <w:rsid w:val="00125E55"/>
    <w:rsid w:val="0012626C"/>
    <w:rsid w:val="001271EE"/>
    <w:rsid w:val="00127988"/>
    <w:rsid w:val="00127CC3"/>
    <w:rsid w:val="001306A9"/>
    <w:rsid w:val="001322E5"/>
    <w:rsid w:val="00133580"/>
    <w:rsid w:val="00133612"/>
    <w:rsid w:val="00133781"/>
    <w:rsid w:val="00133E86"/>
    <w:rsid w:val="00136C18"/>
    <w:rsid w:val="00137277"/>
    <w:rsid w:val="00137C12"/>
    <w:rsid w:val="00140879"/>
    <w:rsid w:val="001425F5"/>
    <w:rsid w:val="00143EB3"/>
    <w:rsid w:val="00146369"/>
    <w:rsid w:val="00146F1C"/>
    <w:rsid w:val="0015004C"/>
    <w:rsid w:val="00150825"/>
    <w:rsid w:val="00151C95"/>
    <w:rsid w:val="001522A5"/>
    <w:rsid w:val="00152D91"/>
    <w:rsid w:val="001536F8"/>
    <w:rsid w:val="00153D15"/>
    <w:rsid w:val="0015503B"/>
    <w:rsid w:val="00155993"/>
    <w:rsid w:val="00156701"/>
    <w:rsid w:val="00156E08"/>
    <w:rsid w:val="00156E80"/>
    <w:rsid w:val="001606A0"/>
    <w:rsid w:val="0016274E"/>
    <w:rsid w:val="00162E99"/>
    <w:rsid w:val="00163268"/>
    <w:rsid w:val="001652F3"/>
    <w:rsid w:val="00166404"/>
    <w:rsid w:val="00166466"/>
    <w:rsid w:val="00166DA0"/>
    <w:rsid w:val="00170CF2"/>
    <w:rsid w:val="001712CB"/>
    <w:rsid w:val="001714C3"/>
    <w:rsid w:val="00172585"/>
    <w:rsid w:val="00172934"/>
    <w:rsid w:val="001737B0"/>
    <w:rsid w:val="001744E3"/>
    <w:rsid w:val="00174CAA"/>
    <w:rsid w:val="00175691"/>
    <w:rsid w:val="0017592D"/>
    <w:rsid w:val="0017672E"/>
    <w:rsid w:val="00176C9A"/>
    <w:rsid w:val="00177102"/>
    <w:rsid w:val="00177C1F"/>
    <w:rsid w:val="00177D14"/>
    <w:rsid w:val="00177FD5"/>
    <w:rsid w:val="00181DA3"/>
    <w:rsid w:val="001824EC"/>
    <w:rsid w:val="001828A6"/>
    <w:rsid w:val="001834E6"/>
    <w:rsid w:val="001839A2"/>
    <w:rsid w:val="001845E9"/>
    <w:rsid w:val="00184EA5"/>
    <w:rsid w:val="00185012"/>
    <w:rsid w:val="00185CDD"/>
    <w:rsid w:val="00185FE1"/>
    <w:rsid w:val="00186933"/>
    <w:rsid w:val="001879D2"/>
    <w:rsid w:val="00191753"/>
    <w:rsid w:val="00191C00"/>
    <w:rsid w:val="00191E09"/>
    <w:rsid w:val="001923D1"/>
    <w:rsid w:val="00192A05"/>
    <w:rsid w:val="001940AD"/>
    <w:rsid w:val="00194290"/>
    <w:rsid w:val="00194E82"/>
    <w:rsid w:val="00194F22"/>
    <w:rsid w:val="00195E5F"/>
    <w:rsid w:val="00196C72"/>
    <w:rsid w:val="00197516"/>
    <w:rsid w:val="00197A8C"/>
    <w:rsid w:val="001A000E"/>
    <w:rsid w:val="001A03C3"/>
    <w:rsid w:val="001A0513"/>
    <w:rsid w:val="001A12F7"/>
    <w:rsid w:val="001A1758"/>
    <w:rsid w:val="001A219B"/>
    <w:rsid w:val="001A2439"/>
    <w:rsid w:val="001A278A"/>
    <w:rsid w:val="001A294E"/>
    <w:rsid w:val="001A2C73"/>
    <w:rsid w:val="001A3115"/>
    <w:rsid w:val="001A35A7"/>
    <w:rsid w:val="001A3B3F"/>
    <w:rsid w:val="001A3BE9"/>
    <w:rsid w:val="001A4582"/>
    <w:rsid w:val="001A523A"/>
    <w:rsid w:val="001A5656"/>
    <w:rsid w:val="001A618D"/>
    <w:rsid w:val="001A7145"/>
    <w:rsid w:val="001A7610"/>
    <w:rsid w:val="001A7704"/>
    <w:rsid w:val="001A7725"/>
    <w:rsid w:val="001A79D0"/>
    <w:rsid w:val="001B0D04"/>
    <w:rsid w:val="001B1AB0"/>
    <w:rsid w:val="001B256E"/>
    <w:rsid w:val="001B2578"/>
    <w:rsid w:val="001B2B1E"/>
    <w:rsid w:val="001B42A3"/>
    <w:rsid w:val="001B521D"/>
    <w:rsid w:val="001B6401"/>
    <w:rsid w:val="001B687E"/>
    <w:rsid w:val="001C0A81"/>
    <w:rsid w:val="001C0F6B"/>
    <w:rsid w:val="001C1F94"/>
    <w:rsid w:val="001C3ACC"/>
    <w:rsid w:val="001C5BAB"/>
    <w:rsid w:val="001C5F27"/>
    <w:rsid w:val="001C675C"/>
    <w:rsid w:val="001C6C45"/>
    <w:rsid w:val="001C6EE0"/>
    <w:rsid w:val="001C71D8"/>
    <w:rsid w:val="001C7808"/>
    <w:rsid w:val="001C7E6D"/>
    <w:rsid w:val="001C7EE7"/>
    <w:rsid w:val="001D0032"/>
    <w:rsid w:val="001D0A46"/>
    <w:rsid w:val="001D13A3"/>
    <w:rsid w:val="001D162F"/>
    <w:rsid w:val="001D1D64"/>
    <w:rsid w:val="001D20D0"/>
    <w:rsid w:val="001D22D3"/>
    <w:rsid w:val="001D2D6C"/>
    <w:rsid w:val="001D311E"/>
    <w:rsid w:val="001D3BEB"/>
    <w:rsid w:val="001D3E2F"/>
    <w:rsid w:val="001D412B"/>
    <w:rsid w:val="001D4C4A"/>
    <w:rsid w:val="001D4D45"/>
    <w:rsid w:val="001D5742"/>
    <w:rsid w:val="001D79AB"/>
    <w:rsid w:val="001E1432"/>
    <w:rsid w:val="001E29D0"/>
    <w:rsid w:val="001E38EE"/>
    <w:rsid w:val="001E3F76"/>
    <w:rsid w:val="001E58FD"/>
    <w:rsid w:val="001E7CDB"/>
    <w:rsid w:val="001F0694"/>
    <w:rsid w:val="001F0B93"/>
    <w:rsid w:val="001F12CA"/>
    <w:rsid w:val="001F15C8"/>
    <w:rsid w:val="001F18C6"/>
    <w:rsid w:val="001F210A"/>
    <w:rsid w:val="001F2674"/>
    <w:rsid w:val="001F29EF"/>
    <w:rsid w:val="001F2FA0"/>
    <w:rsid w:val="001F478F"/>
    <w:rsid w:val="001F47AA"/>
    <w:rsid w:val="001F4BD9"/>
    <w:rsid w:val="001F4F8E"/>
    <w:rsid w:val="001F5130"/>
    <w:rsid w:val="001F6379"/>
    <w:rsid w:val="001F6400"/>
    <w:rsid w:val="001F7118"/>
    <w:rsid w:val="001F7D99"/>
    <w:rsid w:val="00201920"/>
    <w:rsid w:val="0020325E"/>
    <w:rsid w:val="002044BA"/>
    <w:rsid w:val="00204951"/>
    <w:rsid w:val="00204FC0"/>
    <w:rsid w:val="00205FF9"/>
    <w:rsid w:val="00206277"/>
    <w:rsid w:val="00206775"/>
    <w:rsid w:val="00206B43"/>
    <w:rsid w:val="0021410C"/>
    <w:rsid w:val="00214746"/>
    <w:rsid w:val="002155C2"/>
    <w:rsid w:val="002163FD"/>
    <w:rsid w:val="0021652E"/>
    <w:rsid w:val="0021786B"/>
    <w:rsid w:val="00217B75"/>
    <w:rsid w:val="00217EE4"/>
    <w:rsid w:val="00223CC7"/>
    <w:rsid w:val="00223E30"/>
    <w:rsid w:val="00223EF0"/>
    <w:rsid w:val="002242D2"/>
    <w:rsid w:val="00225A89"/>
    <w:rsid w:val="002262DF"/>
    <w:rsid w:val="00226E4E"/>
    <w:rsid w:val="00230430"/>
    <w:rsid w:val="00230441"/>
    <w:rsid w:val="00230EE2"/>
    <w:rsid w:val="00231801"/>
    <w:rsid w:val="00232139"/>
    <w:rsid w:val="002325C7"/>
    <w:rsid w:val="002329D4"/>
    <w:rsid w:val="00234FFC"/>
    <w:rsid w:val="00235DD0"/>
    <w:rsid w:val="00237F20"/>
    <w:rsid w:val="002419A6"/>
    <w:rsid w:val="002430F4"/>
    <w:rsid w:val="0024405F"/>
    <w:rsid w:val="002450E9"/>
    <w:rsid w:val="00246FF9"/>
    <w:rsid w:val="0025017C"/>
    <w:rsid w:val="00254130"/>
    <w:rsid w:val="002548BD"/>
    <w:rsid w:val="00257130"/>
    <w:rsid w:val="0025728F"/>
    <w:rsid w:val="00261EA8"/>
    <w:rsid w:val="00262355"/>
    <w:rsid w:val="00263D20"/>
    <w:rsid w:val="00263F9E"/>
    <w:rsid w:val="002643B9"/>
    <w:rsid w:val="002660F4"/>
    <w:rsid w:val="002664A6"/>
    <w:rsid w:val="002671C2"/>
    <w:rsid w:val="0026745E"/>
    <w:rsid w:val="00267761"/>
    <w:rsid w:val="00270552"/>
    <w:rsid w:val="002711A7"/>
    <w:rsid w:val="0027154E"/>
    <w:rsid w:val="00271A0E"/>
    <w:rsid w:val="00272411"/>
    <w:rsid w:val="00272E08"/>
    <w:rsid w:val="0027363F"/>
    <w:rsid w:val="00273A9F"/>
    <w:rsid w:val="00273C91"/>
    <w:rsid w:val="0027425E"/>
    <w:rsid w:val="0027517A"/>
    <w:rsid w:val="0027591D"/>
    <w:rsid w:val="002764E7"/>
    <w:rsid w:val="00276D5C"/>
    <w:rsid w:val="00277E32"/>
    <w:rsid w:val="002851DC"/>
    <w:rsid w:val="00285BC3"/>
    <w:rsid w:val="00285ED3"/>
    <w:rsid w:val="002864D8"/>
    <w:rsid w:val="00287156"/>
    <w:rsid w:val="0028750C"/>
    <w:rsid w:val="00290724"/>
    <w:rsid w:val="00290B7F"/>
    <w:rsid w:val="00290F9F"/>
    <w:rsid w:val="002910F6"/>
    <w:rsid w:val="002921AA"/>
    <w:rsid w:val="00292975"/>
    <w:rsid w:val="002932D8"/>
    <w:rsid w:val="002941B4"/>
    <w:rsid w:val="00294FE9"/>
    <w:rsid w:val="00295DFF"/>
    <w:rsid w:val="002966F4"/>
    <w:rsid w:val="00296D29"/>
    <w:rsid w:val="002A0B7D"/>
    <w:rsid w:val="002A0CC5"/>
    <w:rsid w:val="002A16D8"/>
    <w:rsid w:val="002A190F"/>
    <w:rsid w:val="002A1A13"/>
    <w:rsid w:val="002A1DF3"/>
    <w:rsid w:val="002A2373"/>
    <w:rsid w:val="002A37D5"/>
    <w:rsid w:val="002A3DA7"/>
    <w:rsid w:val="002A4229"/>
    <w:rsid w:val="002A4524"/>
    <w:rsid w:val="002A5F6C"/>
    <w:rsid w:val="002A6392"/>
    <w:rsid w:val="002A647C"/>
    <w:rsid w:val="002A6AC4"/>
    <w:rsid w:val="002A777B"/>
    <w:rsid w:val="002B038C"/>
    <w:rsid w:val="002B089D"/>
    <w:rsid w:val="002B0953"/>
    <w:rsid w:val="002B1AF5"/>
    <w:rsid w:val="002B324B"/>
    <w:rsid w:val="002B3A54"/>
    <w:rsid w:val="002B66F2"/>
    <w:rsid w:val="002B67C6"/>
    <w:rsid w:val="002B7B47"/>
    <w:rsid w:val="002C01DF"/>
    <w:rsid w:val="002C06C9"/>
    <w:rsid w:val="002C114F"/>
    <w:rsid w:val="002C1699"/>
    <w:rsid w:val="002C3279"/>
    <w:rsid w:val="002C3578"/>
    <w:rsid w:val="002C3592"/>
    <w:rsid w:val="002C3612"/>
    <w:rsid w:val="002C368B"/>
    <w:rsid w:val="002C383F"/>
    <w:rsid w:val="002C591D"/>
    <w:rsid w:val="002C5D31"/>
    <w:rsid w:val="002C60BD"/>
    <w:rsid w:val="002C77AF"/>
    <w:rsid w:val="002C7E29"/>
    <w:rsid w:val="002D1A92"/>
    <w:rsid w:val="002D32F0"/>
    <w:rsid w:val="002D4D5E"/>
    <w:rsid w:val="002D5194"/>
    <w:rsid w:val="002D58D8"/>
    <w:rsid w:val="002D7777"/>
    <w:rsid w:val="002D7F65"/>
    <w:rsid w:val="002E04A4"/>
    <w:rsid w:val="002E0872"/>
    <w:rsid w:val="002E0910"/>
    <w:rsid w:val="002E0D4D"/>
    <w:rsid w:val="002E13DC"/>
    <w:rsid w:val="002E1E20"/>
    <w:rsid w:val="002E2B89"/>
    <w:rsid w:val="002E2D39"/>
    <w:rsid w:val="002E3424"/>
    <w:rsid w:val="002E3972"/>
    <w:rsid w:val="002E3CC2"/>
    <w:rsid w:val="002E45AA"/>
    <w:rsid w:val="002E63E1"/>
    <w:rsid w:val="002E703D"/>
    <w:rsid w:val="002E7AB0"/>
    <w:rsid w:val="002F1B23"/>
    <w:rsid w:val="002F1FE4"/>
    <w:rsid w:val="002F243A"/>
    <w:rsid w:val="002F2751"/>
    <w:rsid w:val="002F31F6"/>
    <w:rsid w:val="002F4863"/>
    <w:rsid w:val="00301CD6"/>
    <w:rsid w:val="003020F5"/>
    <w:rsid w:val="00302B8E"/>
    <w:rsid w:val="00303356"/>
    <w:rsid w:val="003035E1"/>
    <w:rsid w:val="003040F6"/>
    <w:rsid w:val="00305AE0"/>
    <w:rsid w:val="003064CB"/>
    <w:rsid w:val="00306CBB"/>
    <w:rsid w:val="00307FC8"/>
    <w:rsid w:val="0031034C"/>
    <w:rsid w:val="003122EC"/>
    <w:rsid w:val="003128E3"/>
    <w:rsid w:val="00315783"/>
    <w:rsid w:val="00315BB0"/>
    <w:rsid w:val="00316D6D"/>
    <w:rsid w:val="00316FE0"/>
    <w:rsid w:val="00316FFA"/>
    <w:rsid w:val="003176F1"/>
    <w:rsid w:val="00317F32"/>
    <w:rsid w:val="003207ED"/>
    <w:rsid w:val="00321494"/>
    <w:rsid w:val="00322586"/>
    <w:rsid w:val="00324054"/>
    <w:rsid w:val="00325923"/>
    <w:rsid w:val="00325D13"/>
    <w:rsid w:val="00326E34"/>
    <w:rsid w:val="00326EA9"/>
    <w:rsid w:val="00326FA1"/>
    <w:rsid w:val="00331F5D"/>
    <w:rsid w:val="0033272A"/>
    <w:rsid w:val="00332F8A"/>
    <w:rsid w:val="003330C2"/>
    <w:rsid w:val="0033346E"/>
    <w:rsid w:val="003334BB"/>
    <w:rsid w:val="003347E2"/>
    <w:rsid w:val="00337AEE"/>
    <w:rsid w:val="00343AA3"/>
    <w:rsid w:val="00343F33"/>
    <w:rsid w:val="00343F46"/>
    <w:rsid w:val="003445C3"/>
    <w:rsid w:val="003446D3"/>
    <w:rsid w:val="0034510E"/>
    <w:rsid w:val="003468AA"/>
    <w:rsid w:val="00346D30"/>
    <w:rsid w:val="00347A8E"/>
    <w:rsid w:val="00350380"/>
    <w:rsid w:val="003503C6"/>
    <w:rsid w:val="003503F6"/>
    <w:rsid w:val="00352EF3"/>
    <w:rsid w:val="00353215"/>
    <w:rsid w:val="00355591"/>
    <w:rsid w:val="003557FE"/>
    <w:rsid w:val="003565AB"/>
    <w:rsid w:val="00356879"/>
    <w:rsid w:val="003607BB"/>
    <w:rsid w:val="0036113A"/>
    <w:rsid w:val="00362DAA"/>
    <w:rsid w:val="00362F4C"/>
    <w:rsid w:val="003663C3"/>
    <w:rsid w:val="00366752"/>
    <w:rsid w:val="0036679F"/>
    <w:rsid w:val="00367809"/>
    <w:rsid w:val="003723EF"/>
    <w:rsid w:val="00372862"/>
    <w:rsid w:val="00373593"/>
    <w:rsid w:val="0037446E"/>
    <w:rsid w:val="00374BBF"/>
    <w:rsid w:val="00374F2E"/>
    <w:rsid w:val="0037518E"/>
    <w:rsid w:val="003756D4"/>
    <w:rsid w:val="0037642C"/>
    <w:rsid w:val="003769CC"/>
    <w:rsid w:val="003775FA"/>
    <w:rsid w:val="003803A0"/>
    <w:rsid w:val="00382AAC"/>
    <w:rsid w:val="003837B8"/>
    <w:rsid w:val="003839E9"/>
    <w:rsid w:val="00383CF6"/>
    <w:rsid w:val="00383FED"/>
    <w:rsid w:val="00385D67"/>
    <w:rsid w:val="00385E32"/>
    <w:rsid w:val="003862E3"/>
    <w:rsid w:val="00386C32"/>
    <w:rsid w:val="003870DC"/>
    <w:rsid w:val="00391575"/>
    <w:rsid w:val="003918FB"/>
    <w:rsid w:val="00392CD8"/>
    <w:rsid w:val="0039410F"/>
    <w:rsid w:val="003957F1"/>
    <w:rsid w:val="00395A8E"/>
    <w:rsid w:val="00395B8D"/>
    <w:rsid w:val="00395C14"/>
    <w:rsid w:val="00396F19"/>
    <w:rsid w:val="00397CC8"/>
    <w:rsid w:val="003A1E94"/>
    <w:rsid w:val="003A304D"/>
    <w:rsid w:val="003A3D51"/>
    <w:rsid w:val="003A4447"/>
    <w:rsid w:val="003A5D8E"/>
    <w:rsid w:val="003A6515"/>
    <w:rsid w:val="003A6DA1"/>
    <w:rsid w:val="003A79DC"/>
    <w:rsid w:val="003B01F1"/>
    <w:rsid w:val="003B0503"/>
    <w:rsid w:val="003B06C5"/>
    <w:rsid w:val="003B0762"/>
    <w:rsid w:val="003B1B13"/>
    <w:rsid w:val="003B2309"/>
    <w:rsid w:val="003B24E7"/>
    <w:rsid w:val="003B3344"/>
    <w:rsid w:val="003B3507"/>
    <w:rsid w:val="003B464E"/>
    <w:rsid w:val="003B7FE9"/>
    <w:rsid w:val="003C03DA"/>
    <w:rsid w:val="003C073B"/>
    <w:rsid w:val="003C27C6"/>
    <w:rsid w:val="003C292A"/>
    <w:rsid w:val="003C3232"/>
    <w:rsid w:val="003C6EC5"/>
    <w:rsid w:val="003C7315"/>
    <w:rsid w:val="003C77CE"/>
    <w:rsid w:val="003D142C"/>
    <w:rsid w:val="003D213E"/>
    <w:rsid w:val="003D3FB5"/>
    <w:rsid w:val="003D531C"/>
    <w:rsid w:val="003E234A"/>
    <w:rsid w:val="003E24B3"/>
    <w:rsid w:val="003E4921"/>
    <w:rsid w:val="003E5548"/>
    <w:rsid w:val="003E7025"/>
    <w:rsid w:val="003E762E"/>
    <w:rsid w:val="003F0275"/>
    <w:rsid w:val="003F43C6"/>
    <w:rsid w:val="003F5D3D"/>
    <w:rsid w:val="003F66B1"/>
    <w:rsid w:val="003F73FE"/>
    <w:rsid w:val="003F788D"/>
    <w:rsid w:val="00403EA9"/>
    <w:rsid w:val="00404296"/>
    <w:rsid w:val="0040433E"/>
    <w:rsid w:val="00406AB8"/>
    <w:rsid w:val="004104DD"/>
    <w:rsid w:val="004114BC"/>
    <w:rsid w:val="0041260A"/>
    <w:rsid w:val="004137C6"/>
    <w:rsid w:val="00413F89"/>
    <w:rsid w:val="00415644"/>
    <w:rsid w:val="0041700C"/>
    <w:rsid w:val="00417ECC"/>
    <w:rsid w:val="00417F44"/>
    <w:rsid w:val="00420821"/>
    <w:rsid w:val="00420C2A"/>
    <w:rsid w:val="00420F3E"/>
    <w:rsid w:val="00421788"/>
    <w:rsid w:val="004220C8"/>
    <w:rsid w:val="00422773"/>
    <w:rsid w:val="0042300C"/>
    <w:rsid w:val="0042368E"/>
    <w:rsid w:val="0042447E"/>
    <w:rsid w:val="00425244"/>
    <w:rsid w:val="00426157"/>
    <w:rsid w:val="00426484"/>
    <w:rsid w:val="00426FF3"/>
    <w:rsid w:val="00427071"/>
    <w:rsid w:val="00427E8F"/>
    <w:rsid w:val="00430403"/>
    <w:rsid w:val="00430879"/>
    <w:rsid w:val="00430C1F"/>
    <w:rsid w:val="004314F5"/>
    <w:rsid w:val="00431787"/>
    <w:rsid w:val="00431A61"/>
    <w:rsid w:val="00431CCA"/>
    <w:rsid w:val="00432C13"/>
    <w:rsid w:val="00433424"/>
    <w:rsid w:val="004350D6"/>
    <w:rsid w:val="0043611A"/>
    <w:rsid w:val="00441357"/>
    <w:rsid w:val="004419F0"/>
    <w:rsid w:val="00441CB8"/>
    <w:rsid w:val="00442497"/>
    <w:rsid w:val="00443162"/>
    <w:rsid w:val="004437AE"/>
    <w:rsid w:val="00444344"/>
    <w:rsid w:val="00444F33"/>
    <w:rsid w:val="00446570"/>
    <w:rsid w:val="00447D60"/>
    <w:rsid w:val="004502C8"/>
    <w:rsid w:val="0045079C"/>
    <w:rsid w:val="00451570"/>
    <w:rsid w:val="0045213B"/>
    <w:rsid w:val="004523AE"/>
    <w:rsid w:val="00453103"/>
    <w:rsid w:val="00453117"/>
    <w:rsid w:val="004531B1"/>
    <w:rsid w:val="004537D7"/>
    <w:rsid w:val="00453999"/>
    <w:rsid w:val="00454676"/>
    <w:rsid w:val="00455093"/>
    <w:rsid w:val="0045599E"/>
    <w:rsid w:val="004603B5"/>
    <w:rsid w:val="004611F6"/>
    <w:rsid w:val="004626CA"/>
    <w:rsid w:val="00463606"/>
    <w:rsid w:val="00463650"/>
    <w:rsid w:val="00463FF5"/>
    <w:rsid w:val="004643C6"/>
    <w:rsid w:val="004662A4"/>
    <w:rsid w:val="004667CB"/>
    <w:rsid w:val="0047053D"/>
    <w:rsid w:val="00473C12"/>
    <w:rsid w:val="004746D2"/>
    <w:rsid w:val="00475DEE"/>
    <w:rsid w:val="00475F72"/>
    <w:rsid w:val="00481776"/>
    <w:rsid w:val="004820D2"/>
    <w:rsid w:val="004838A5"/>
    <w:rsid w:val="004843B4"/>
    <w:rsid w:val="0048441E"/>
    <w:rsid w:val="00487D95"/>
    <w:rsid w:val="00487F0D"/>
    <w:rsid w:val="00490E8C"/>
    <w:rsid w:val="004933BF"/>
    <w:rsid w:val="00494ADB"/>
    <w:rsid w:val="00494F16"/>
    <w:rsid w:val="0049629B"/>
    <w:rsid w:val="004979D5"/>
    <w:rsid w:val="00497E5E"/>
    <w:rsid w:val="004A0547"/>
    <w:rsid w:val="004A0750"/>
    <w:rsid w:val="004A0D1D"/>
    <w:rsid w:val="004A2779"/>
    <w:rsid w:val="004A2969"/>
    <w:rsid w:val="004A5B8F"/>
    <w:rsid w:val="004A7055"/>
    <w:rsid w:val="004B0929"/>
    <w:rsid w:val="004B2167"/>
    <w:rsid w:val="004B5066"/>
    <w:rsid w:val="004B52BD"/>
    <w:rsid w:val="004B6951"/>
    <w:rsid w:val="004B7E33"/>
    <w:rsid w:val="004C01C8"/>
    <w:rsid w:val="004C02BC"/>
    <w:rsid w:val="004C0EA3"/>
    <w:rsid w:val="004C122C"/>
    <w:rsid w:val="004C1B7E"/>
    <w:rsid w:val="004C2A9E"/>
    <w:rsid w:val="004C3F5F"/>
    <w:rsid w:val="004C4EC4"/>
    <w:rsid w:val="004C67E7"/>
    <w:rsid w:val="004C693B"/>
    <w:rsid w:val="004C6B19"/>
    <w:rsid w:val="004D010F"/>
    <w:rsid w:val="004D04C1"/>
    <w:rsid w:val="004D09CB"/>
    <w:rsid w:val="004D10F9"/>
    <w:rsid w:val="004D175F"/>
    <w:rsid w:val="004D1858"/>
    <w:rsid w:val="004D2E16"/>
    <w:rsid w:val="004D38BB"/>
    <w:rsid w:val="004D46F2"/>
    <w:rsid w:val="004D4FBD"/>
    <w:rsid w:val="004D5CED"/>
    <w:rsid w:val="004D660C"/>
    <w:rsid w:val="004D6944"/>
    <w:rsid w:val="004D7A02"/>
    <w:rsid w:val="004D7B77"/>
    <w:rsid w:val="004E0A0E"/>
    <w:rsid w:val="004E14C3"/>
    <w:rsid w:val="004E4BEB"/>
    <w:rsid w:val="004E60C6"/>
    <w:rsid w:val="004E7D91"/>
    <w:rsid w:val="004F2108"/>
    <w:rsid w:val="004F2111"/>
    <w:rsid w:val="004F410E"/>
    <w:rsid w:val="004F505E"/>
    <w:rsid w:val="004F5E00"/>
    <w:rsid w:val="004F6FFF"/>
    <w:rsid w:val="00500493"/>
    <w:rsid w:val="0050066D"/>
    <w:rsid w:val="00500795"/>
    <w:rsid w:val="00500B16"/>
    <w:rsid w:val="0050101B"/>
    <w:rsid w:val="00501A59"/>
    <w:rsid w:val="00504889"/>
    <w:rsid w:val="00504BC1"/>
    <w:rsid w:val="0050537D"/>
    <w:rsid w:val="005072B4"/>
    <w:rsid w:val="00507E2B"/>
    <w:rsid w:val="0051077F"/>
    <w:rsid w:val="005112A9"/>
    <w:rsid w:val="0051186F"/>
    <w:rsid w:val="00511CEB"/>
    <w:rsid w:val="00511ECE"/>
    <w:rsid w:val="00512BD3"/>
    <w:rsid w:val="00513DCC"/>
    <w:rsid w:val="00515EA1"/>
    <w:rsid w:val="00515EA7"/>
    <w:rsid w:val="00516CDA"/>
    <w:rsid w:val="00522867"/>
    <w:rsid w:val="00524310"/>
    <w:rsid w:val="0052485B"/>
    <w:rsid w:val="0052564A"/>
    <w:rsid w:val="00525BBA"/>
    <w:rsid w:val="00527080"/>
    <w:rsid w:val="00527261"/>
    <w:rsid w:val="00527295"/>
    <w:rsid w:val="00531D1E"/>
    <w:rsid w:val="005344FB"/>
    <w:rsid w:val="005357F6"/>
    <w:rsid w:val="00535BFE"/>
    <w:rsid w:val="005365B3"/>
    <w:rsid w:val="00536A2D"/>
    <w:rsid w:val="00537459"/>
    <w:rsid w:val="00540FB2"/>
    <w:rsid w:val="00541393"/>
    <w:rsid w:val="0054159D"/>
    <w:rsid w:val="00541AC7"/>
    <w:rsid w:val="00542130"/>
    <w:rsid w:val="005438E5"/>
    <w:rsid w:val="00544B9A"/>
    <w:rsid w:val="00544F51"/>
    <w:rsid w:val="00545A73"/>
    <w:rsid w:val="00550797"/>
    <w:rsid w:val="00550B01"/>
    <w:rsid w:val="00550FC9"/>
    <w:rsid w:val="005513CA"/>
    <w:rsid w:val="00552C4B"/>
    <w:rsid w:val="00554AB9"/>
    <w:rsid w:val="00555F29"/>
    <w:rsid w:val="00555F89"/>
    <w:rsid w:val="00556FF2"/>
    <w:rsid w:val="005573BB"/>
    <w:rsid w:val="00560F87"/>
    <w:rsid w:val="00562CCB"/>
    <w:rsid w:val="005637BD"/>
    <w:rsid w:val="00564561"/>
    <w:rsid w:val="00570997"/>
    <w:rsid w:val="00571C66"/>
    <w:rsid w:val="0057246C"/>
    <w:rsid w:val="0057250A"/>
    <w:rsid w:val="005728F0"/>
    <w:rsid w:val="0057460E"/>
    <w:rsid w:val="005746E9"/>
    <w:rsid w:val="005749AB"/>
    <w:rsid w:val="00574ADE"/>
    <w:rsid w:val="00574B5C"/>
    <w:rsid w:val="00575534"/>
    <w:rsid w:val="0057588E"/>
    <w:rsid w:val="005774B8"/>
    <w:rsid w:val="00577ED1"/>
    <w:rsid w:val="0058012F"/>
    <w:rsid w:val="00581153"/>
    <w:rsid w:val="00583002"/>
    <w:rsid w:val="005847D9"/>
    <w:rsid w:val="00584B1D"/>
    <w:rsid w:val="005853E3"/>
    <w:rsid w:val="00585C5A"/>
    <w:rsid w:val="00586515"/>
    <w:rsid w:val="00587373"/>
    <w:rsid w:val="00591B2C"/>
    <w:rsid w:val="00592398"/>
    <w:rsid w:val="005923BB"/>
    <w:rsid w:val="00592A9C"/>
    <w:rsid w:val="0059331E"/>
    <w:rsid w:val="00593724"/>
    <w:rsid w:val="00594721"/>
    <w:rsid w:val="00595128"/>
    <w:rsid w:val="005A001D"/>
    <w:rsid w:val="005A1B6C"/>
    <w:rsid w:val="005A1C08"/>
    <w:rsid w:val="005A2323"/>
    <w:rsid w:val="005A3654"/>
    <w:rsid w:val="005A4A40"/>
    <w:rsid w:val="005A4BDF"/>
    <w:rsid w:val="005A531C"/>
    <w:rsid w:val="005A7035"/>
    <w:rsid w:val="005A7B04"/>
    <w:rsid w:val="005B0982"/>
    <w:rsid w:val="005B4EF3"/>
    <w:rsid w:val="005B59CF"/>
    <w:rsid w:val="005B5CD1"/>
    <w:rsid w:val="005B5DE0"/>
    <w:rsid w:val="005B6AB6"/>
    <w:rsid w:val="005C002A"/>
    <w:rsid w:val="005C1508"/>
    <w:rsid w:val="005C1DB7"/>
    <w:rsid w:val="005C24D9"/>
    <w:rsid w:val="005C29D2"/>
    <w:rsid w:val="005C356E"/>
    <w:rsid w:val="005C36B0"/>
    <w:rsid w:val="005C4146"/>
    <w:rsid w:val="005C4655"/>
    <w:rsid w:val="005C5E27"/>
    <w:rsid w:val="005C6736"/>
    <w:rsid w:val="005C6A45"/>
    <w:rsid w:val="005C6E59"/>
    <w:rsid w:val="005C723D"/>
    <w:rsid w:val="005C7A8E"/>
    <w:rsid w:val="005D0E46"/>
    <w:rsid w:val="005D12BE"/>
    <w:rsid w:val="005D145A"/>
    <w:rsid w:val="005D1B4C"/>
    <w:rsid w:val="005D3A21"/>
    <w:rsid w:val="005D3B5F"/>
    <w:rsid w:val="005D3DB5"/>
    <w:rsid w:val="005D4542"/>
    <w:rsid w:val="005D4F66"/>
    <w:rsid w:val="005D639F"/>
    <w:rsid w:val="005D65D7"/>
    <w:rsid w:val="005D65F7"/>
    <w:rsid w:val="005D6D32"/>
    <w:rsid w:val="005D7061"/>
    <w:rsid w:val="005E0F1F"/>
    <w:rsid w:val="005E1361"/>
    <w:rsid w:val="005E1388"/>
    <w:rsid w:val="005E1F85"/>
    <w:rsid w:val="005E363A"/>
    <w:rsid w:val="005E3CCF"/>
    <w:rsid w:val="005E4651"/>
    <w:rsid w:val="005E4E64"/>
    <w:rsid w:val="005E50E8"/>
    <w:rsid w:val="005E67A8"/>
    <w:rsid w:val="005E6A43"/>
    <w:rsid w:val="005F0DD0"/>
    <w:rsid w:val="005F3036"/>
    <w:rsid w:val="005F32FC"/>
    <w:rsid w:val="005F391D"/>
    <w:rsid w:val="005F42DC"/>
    <w:rsid w:val="005F4CAE"/>
    <w:rsid w:val="005F4EC2"/>
    <w:rsid w:val="005F4EC4"/>
    <w:rsid w:val="005F5675"/>
    <w:rsid w:val="005F6367"/>
    <w:rsid w:val="005F6F3F"/>
    <w:rsid w:val="005F7008"/>
    <w:rsid w:val="005F7A14"/>
    <w:rsid w:val="006000F4"/>
    <w:rsid w:val="006004CE"/>
    <w:rsid w:val="0060070C"/>
    <w:rsid w:val="006025F4"/>
    <w:rsid w:val="00602C5A"/>
    <w:rsid w:val="00602FD9"/>
    <w:rsid w:val="00603E32"/>
    <w:rsid w:val="00604DCC"/>
    <w:rsid w:val="00604DD2"/>
    <w:rsid w:val="00607224"/>
    <w:rsid w:val="00607ACF"/>
    <w:rsid w:val="00607D63"/>
    <w:rsid w:val="00607DE8"/>
    <w:rsid w:val="00611ECF"/>
    <w:rsid w:val="00616F30"/>
    <w:rsid w:val="0061765C"/>
    <w:rsid w:val="00617F9E"/>
    <w:rsid w:val="00620AC4"/>
    <w:rsid w:val="00620E8A"/>
    <w:rsid w:val="00622809"/>
    <w:rsid w:val="006230FB"/>
    <w:rsid w:val="00624D00"/>
    <w:rsid w:val="00624DFA"/>
    <w:rsid w:val="006259AC"/>
    <w:rsid w:val="00625AD6"/>
    <w:rsid w:val="0062725E"/>
    <w:rsid w:val="00627FF5"/>
    <w:rsid w:val="006300D8"/>
    <w:rsid w:val="0063031D"/>
    <w:rsid w:val="00630C71"/>
    <w:rsid w:val="00630F2B"/>
    <w:rsid w:val="0063133A"/>
    <w:rsid w:val="006314EB"/>
    <w:rsid w:val="00631D83"/>
    <w:rsid w:val="00632416"/>
    <w:rsid w:val="006329FD"/>
    <w:rsid w:val="00632BCD"/>
    <w:rsid w:val="006330AB"/>
    <w:rsid w:val="00633C3F"/>
    <w:rsid w:val="00634037"/>
    <w:rsid w:val="00634945"/>
    <w:rsid w:val="00634B27"/>
    <w:rsid w:val="0063711B"/>
    <w:rsid w:val="00637A61"/>
    <w:rsid w:val="00642086"/>
    <w:rsid w:val="00644B76"/>
    <w:rsid w:val="0064517D"/>
    <w:rsid w:val="00647E23"/>
    <w:rsid w:val="00650A28"/>
    <w:rsid w:val="006519B1"/>
    <w:rsid w:val="00653407"/>
    <w:rsid w:val="00653DAC"/>
    <w:rsid w:val="00655A3C"/>
    <w:rsid w:val="00656D96"/>
    <w:rsid w:val="00661399"/>
    <w:rsid w:val="006613BA"/>
    <w:rsid w:val="006622F6"/>
    <w:rsid w:val="006626B7"/>
    <w:rsid w:val="0066331A"/>
    <w:rsid w:val="006652B2"/>
    <w:rsid w:val="00665682"/>
    <w:rsid w:val="00665833"/>
    <w:rsid w:val="00670E73"/>
    <w:rsid w:val="00671092"/>
    <w:rsid w:val="0067113B"/>
    <w:rsid w:val="00673551"/>
    <w:rsid w:val="00673900"/>
    <w:rsid w:val="006747B0"/>
    <w:rsid w:val="006748A7"/>
    <w:rsid w:val="00674E3D"/>
    <w:rsid w:val="006764AB"/>
    <w:rsid w:val="00676969"/>
    <w:rsid w:val="006777F7"/>
    <w:rsid w:val="006804BF"/>
    <w:rsid w:val="00680769"/>
    <w:rsid w:val="00680C5F"/>
    <w:rsid w:val="006810E6"/>
    <w:rsid w:val="006811BD"/>
    <w:rsid w:val="006818A0"/>
    <w:rsid w:val="006831E1"/>
    <w:rsid w:val="0068360B"/>
    <w:rsid w:val="00683DB6"/>
    <w:rsid w:val="00683F33"/>
    <w:rsid w:val="006844BC"/>
    <w:rsid w:val="00684922"/>
    <w:rsid w:val="006850F1"/>
    <w:rsid w:val="00685AD8"/>
    <w:rsid w:val="00686EAD"/>
    <w:rsid w:val="0069033D"/>
    <w:rsid w:val="0069054C"/>
    <w:rsid w:val="00690A99"/>
    <w:rsid w:val="00690AF9"/>
    <w:rsid w:val="00690ECD"/>
    <w:rsid w:val="00691260"/>
    <w:rsid w:val="00691A9A"/>
    <w:rsid w:val="0069265C"/>
    <w:rsid w:val="0069399D"/>
    <w:rsid w:val="00693A18"/>
    <w:rsid w:val="00694EBB"/>
    <w:rsid w:val="0069503B"/>
    <w:rsid w:val="006955FA"/>
    <w:rsid w:val="006957FE"/>
    <w:rsid w:val="006960F9"/>
    <w:rsid w:val="006968D8"/>
    <w:rsid w:val="00697736"/>
    <w:rsid w:val="006A00C2"/>
    <w:rsid w:val="006A186C"/>
    <w:rsid w:val="006A221B"/>
    <w:rsid w:val="006A228C"/>
    <w:rsid w:val="006A4247"/>
    <w:rsid w:val="006A5170"/>
    <w:rsid w:val="006A55C6"/>
    <w:rsid w:val="006A63E3"/>
    <w:rsid w:val="006A6A09"/>
    <w:rsid w:val="006A6F98"/>
    <w:rsid w:val="006B24AC"/>
    <w:rsid w:val="006B4BCE"/>
    <w:rsid w:val="006B4BDB"/>
    <w:rsid w:val="006B5BB9"/>
    <w:rsid w:val="006B5C56"/>
    <w:rsid w:val="006B6894"/>
    <w:rsid w:val="006B7CE8"/>
    <w:rsid w:val="006C03A3"/>
    <w:rsid w:val="006C1BBE"/>
    <w:rsid w:val="006C1C35"/>
    <w:rsid w:val="006C2A41"/>
    <w:rsid w:val="006C34E0"/>
    <w:rsid w:val="006C4AC5"/>
    <w:rsid w:val="006C4C04"/>
    <w:rsid w:val="006C52E8"/>
    <w:rsid w:val="006C5E4E"/>
    <w:rsid w:val="006C6D08"/>
    <w:rsid w:val="006D0FAF"/>
    <w:rsid w:val="006D1A27"/>
    <w:rsid w:val="006D1E03"/>
    <w:rsid w:val="006D270E"/>
    <w:rsid w:val="006D2A50"/>
    <w:rsid w:val="006D2E44"/>
    <w:rsid w:val="006D2F02"/>
    <w:rsid w:val="006D3958"/>
    <w:rsid w:val="006D3F4B"/>
    <w:rsid w:val="006D5672"/>
    <w:rsid w:val="006D5CD1"/>
    <w:rsid w:val="006D77BD"/>
    <w:rsid w:val="006D7F6C"/>
    <w:rsid w:val="006D7FBC"/>
    <w:rsid w:val="006E0078"/>
    <w:rsid w:val="006E06D2"/>
    <w:rsid w:val="006E0CA1"/>
    <w:rsid w:val="006E0DFC"/>
    <w:rsid w:val="006E19CA"/>
    <w:rsid w:val="006E24C0"/>
    <w:rsid w:val="006E4FC6"/>
    <w:rsid w:val="006E508F"/>
    <w:rsid w:val="006E5EA1"/>
    <w:rsid w:val="006E731B"/>
    <w:rsid w:val="006F021C"/>
    <w:rsid w:val="006F1156"/>
    <w:rsid w:val="006F1754"/>
    <w:rsid w:val="006F1B98"/>
    <w:rsid w:val="006F2946"/>
    <w:rsid w:val="006F2A57"/>
    <w:rsid w:val="006F41C9"/>
    <w:rsid w:val="006F433B"/>
    <w:rsid w:val="006F4FAA"/>
    <w:rsid w:val="006F54C2"/>
    <w:rsid w:val="006F5725"/>
    <w:rsid w:val="006F6A62"/>
    <w:rsid w:val="00700B16"/>
    <w:rsid w:val="007010E0"/>
    <w:rsid w:val="00701E26"/>
    <w:rsid w:val="007020E4"/>
    <w:rsid w:val="007034C8"/>
    <w:rsid w:val="007038C9"/>
    <w:rsid w:val="00703D9E"/>
    <w:rsid w:val="00704111"/>
    <w:rsid w:val="00704ABA"/>
    <w:rsid w:val="00704CB7"/>
    <w:rsid w:val="00705887"/>
    <w:rsid w:val="00705ECB"/>
    <w:rsid w:val="0070608A"/>
    <w:rsid w:val="00706ACB"/>
    <w:rsid w:val="0070749C"/>
    <w:rsid w:val="007074FD"/>
    <w:rsid w:val="00710533"/>
    <w:rsid w:val="0071127C"/>
    <w:rsid w:val="0071340E"/>
    <w:rsid w:val="00713CB0"/>
    <w:rsid w:val="00713D01"/>
    <w:rsid w:val="007140F4"/>
    <w:rsid w:val="0071458E"/>
    <w:rsid w:val="00714D59"/>
    <w:rsid w:val="00714EA9"/>
    <w:rsid w:val="00714EF5"/>
    <w:rsid w:val="00715CAC"/>
    <w:rsid w:val="00715DAD"/>
    <w:rsid w:val="00716B58"/>
    <w:rsid w:val="007176AE"/>
    <w:rsid w:val="007204F8"/>
    <w:rsid w:val="00720D9C"/>
    <w:rsid w:val="00721261"/>
    <w:rsid w:val="00721602"/>
    <w:rsid w:val="00721CD0"/>
    <w:rsid w:val="0072238D"/>
    <w:rsid w:val="0072499E"/>
    <w:rsid w:val="00724FC2"/>
    <w:rsid w:val="00725DEE"/>
    <w:rsid w:val="007267D9"/>
    <w:rsid w:val="00726A4E"/>
    <w:rsid w:val="00726ADF"/>
    <w:rsid w:val="00727981"/>
    <w:rsid w:val="00730F37"/>
    <w:rsid w:val="00731F0F"/>
    <w:rsid w:val="0073426F"/>
    <w:rsid w:val="007343DF"/>
    <w:rsid w:val="007355DB"/>
    <w:rsid w:val="00735C36"/>
    <w:rsid w:val="007401C6"/>
    <w:rsid w:val="00740866"/>
    <w:rsid w:val="0074124C"/>
    <w:rsid w:val="00742077"/>
    <w:rsid w:val="00744271"/>
    <w:rsid w:val="00745D95"/>
    <w:rsid w:val="00750258"/>
    <w:rsid w:val="00750D22"/>
    <w:rsid w:val="007511AA"/>
    <w:rsid w:val="007538E4"/>
    <w:rsid w:val="007548F4"/>
    <w:rsid w:val="00754E21"/>
    <w:rsid w:val="00755806"/>
    <w:rsid w:val="007563F8"/>
    <w:rsid w:val="00760A1C"/>
    <w:rsid w:val="00760E85"/>
    <w:rsid w:val="00761263"/>
    <w:rsid w:val="00761584"/>
    <w:rsid w:val="00761C61"/>
    <w:rsid w:val="00761D1E"/>
    <w:rsid w:val="00761DF1"/>
    <w:rsid w:val="0076230F"/>
    <w:rsid w:val="00763803"/>
    <w:rsid w:val="00763996"/>
    <w:rsid w:val="00765279"/>
    <w:rsid w:val="007657B9"/>
    <w:rsid w:val="007663E2"/>
    <w:rsid w:val="0077044C"/>
    <w:rsid w:val="00771982"/>
    <w:rsid w:val="00771C3D"/>
    <w:rsid w:val="00771CAC"/>
    <w:rsid w:val="00773AC3"/>
    <w:rsid w:val="00773F32"/>
    <w:rsid w:val="00773F5A"/>
    <w:rsid w:val="00774A6D"/>
    <w:rsid w:val="00775AE2"/>
    <w:rsid w:val="00775FC6"/>
    <w:rsid w:val="007762A4"/>
    <w:rsid w:val="007762C7"/>
    <w:rsid w:val="00777FB7"/>
    <w:rsid w:val="0078009A"/>
    <w:rsid w:val="00780C39"/>
    <w:rsid w:val="00781127"/>
    <w:rsid w:val="00781B65"/>
    <w:rsid w:val="00782AB2"/>
    <w:rsid w:val="00782B65"/>
    <w:rsid w:val="007838C4"/>
    <w:rsid w:val="00783DDF"/>
    <w:rsid w:val="00786D4D"/>
    <w:rsid w:val="00786E2F"/>
    <w:rsid w:val="00790394"/>
    <w:rsid w:val="00790532"/>
    <w:rsid w:val="00791ACA"/>
    <w:rsid w:val="00792523"/>
    <w:rsid w:val="00792EEE"/>
    <w:rsid w:val="007946C8"/>
    <w:rsid w:val="007947E5"/>
    <w:rsid w:val="00796856"/>
    <w:rsid w:val="007A2033"/>
    <w:rsid w:val="007A2E73"/>
    <w:rsid w:val="007A3987"/>
    <w:rsid w:val="007A3B0E"/>
    <w:rsid w:val="007A46FD"/>
    <w:rsid w:val="007A4849"/>
    <w:rsid w:val="007A52F9"/>
    <w:rsid w:val="007A5C98"/>
    <w:rsid w:val="007A6DB9"/>
    <w:rsid w:val="007A7BDB"/>
    <w:rsid w:val="007B0982"/>
    <w:rsid w:val="007B09E9"/>
    <w:rsid w:val="007B15F4"/>
    <w:rsid w:val="007B1B71"/>
    <w:rsid w:val="007B26A0"/>
    <w:rsid w:val="007B2726"/>
    <w:rsid w:val="007B37D0"/>
    <w:rsid w:val="007B46D9"/>
    <w:rsid w:val="007B5472"/>
    <w:rsid w:val="007B551E"/>
    <w:rsid w:val="007B7225"/>
    <w:rsid w:val="007B7474"/>
    <w:rsid w:val="007B7491"/>
    <w:rsid w:val="007C1A00"/>
    <w:rsid w:val="007C1B7A"/>
    <w:rsid w:val="007C2139"/>
    <w:rsid w:val="007C3426"/>
    <w:rsid w:val="007C3B51"/>
    <w:rsid w:val="007C44DA"/>
    <w:rsid w:val="007C46F9"/>
    <w:rsid w:val="007C60DF"/>
    <w:rsid w:val="007C62BC"/>
    <w:rsid w:val="007C667F"/>
    <w:rsid w:val="007C6FF1"/>
    <w:rsid w:val="007D019D"/>
    <w:rsid w:val="007D022E"/>
    <w:rsid w:val="007D10AF"/>
    <w:rsid w:val="007D2310"/>
    <w:rsid w:val="007D5AC1"/>
    <w:rsid w:val="007D78EA"/>
    <w:rsid w:val="007D7994"/>
    <w:rsid w:val="007E01ED"/>
    <w:rsid w:val="007E054F"/>
    <w:rsid w:val="007E0978"/>
    <w:rsid w:val="007E1495"/>
    <w:rsid w:val="007E1FEA"/>
    <w:rsid w:val="007E22DC"/>
    <w:rsid w:val="007E4449"/>
    <w:rsid w:val="007E448E"/>
    <w:rsid w:val="007E4559"/>
    <w:rsid w:val="007E564D"/>
    <w:rsid w:val="007E5D27"/>
    <w:rsid w:val="007E5D7C"/>
    <w:rsid w:val="007E6434"/>
    <w:rsid w:val="007E6DD0"/>
    <w:rsid w:val="007E722C"/>
    <w:rsid w:val="007E7331"/>
    <w:rsid w:val="007E75B0"/>
    <w:rsid w:val="007E7BA9"/>
    <w:rsid w:val="007F101B"/>
    <w:rsid w:val="007F2092"/>
    <w:rsid w:val="007F268B"/>
    <w:rsid w:val="007F3F68"/>
    <w:rsid w:val="007F47B7"/>
    <w:rsid w:val="007F47DF"/>
    <w:rsid w:val="007F5BDD"/>
    <w:rsid w:val="007F7F3C"/>
    <w:rsid w:val="00800521"/>
    <w:rsid w:val="008005CE"/>
    <w:rsid w:val="00802717"/>
    <w:rsid w:val="0080400F"/>
    <w:rsid w:val="008042E1"/>
    <w:rsid w:val="008044E8"/>
    <w:rsid w:val="00804612"/>
    <w:rsid w:val="008046AA"/>
    <w:rsid w:val="00804955"/>
    <w:rsid w:val="00804A02"/>
    <w:rsid w:val="00804B5A"/>
    <w:rsid w:val="008059CC"/>
    <w:rsid w:val="00805C1D"/>
    <w:rsid w:val="008101A5"/>
    <w:rsid w:val="00810CB9"/>
    <w:rsid w:val="00811CBB"/>
    <w:rsid w:val="00812713"/>
    <w:rsid w:val="0081347A"/>
    <w:rsid w:val="00813840"/>
    <w:rsid w:val="00814384"/>
    <w:rsid w:val="00816F25"/>
    <w:rsid w:val="00821DB5"/>
    <w:rsid w:val="00822899"/>
    <w:rsid w:val="008254AD"/>
    <w:rsid w:val="00827690"/>
    <w:rsid w:val="008310D7"/>
    <w:rsid w:val="00831626"/>
    <w:rsid w:val="00831707"/>
    <w:rsid w:val="00831FCF"/>
    <w:rsid w:val="008325A7"/>
    <w:rsid w:val="008331CA"/>
    <w:rsid w:val="00834CD0"/>
    <w:rsid w:val="0083502B"/>
    <w:rsid w:val="008357F4"/>
    <w:rsid w:val="0083679B"/>
    <w:rsid w:val="00837156"/>
    <w:rsid w:val="00841992"/>
    <w:rsid w:val="00843637"/>
    <w:rsid w:val="008460F4"/>
    <w:rsid w:val="008504CA"/>
    <w:rsid w:val="00850B5B"/>
    <w:rsid w:val="0085210D"/>
    <w:rsid w:val="008533B2"/>
    <w:rsid w:val="0085364B"/>
    <w:rsid w:val="00853A25"/>
    <w:rsid w:val="00853C81"/>
    <w:rsid w:val="00853CF3"/>
    <w:rsid w:val="00854D83"/>
    <w:rsid w:val="00854F1C"/>
    <w:rsid w:val="00855807"/>
    <w:rsid w:val="0085595F"/>
    <w:rsid w:val="00856825"/>
    <w:rsid w:val="008570A5"/>
    <w:rsid w:val="008615B2"/>
    <w:rsid w:val="008616BA"/>
    <w:rsid w:val="008646A4"/>
    <w:rsid w:val="00864F2D"/>
    <w:rsid w:val="00865DE0"/>
    <w:rsid w:val="00865EEA"/>
    <w:rsid w:val="00866545"/>
    <w:rsid w:val="0086745B"/>
    <w:rsid w:val="00870010"/>
    <w:rsid w:val="008713D8"/>
    <w:rsid w:val="00871F63"/>
    <w:rsid w:val="00872BCA"/>
    <w:rsid w:val="00873187"/>
    <w:rsid w:val="00873806"/>
    <w:rsid w:val="00873A7E"/>
    <w:rsid w:val="00873C41"/>
    <w:rsid w:val="0087436B"/>
    <w:rsid w:val="008751CA"/>
    <w:rsid w:val="00876646"/>
    <w:rsid w:val="00876D35"/>
    <w:rsid w:val="00876D7E"/>
    <w:rsid w:val="00877B87"/>
    <w:rsid w:val="008804EC"/>
    <w:rsid w:val="00880907"/>
    <w:rsid w:val="00881C2B"/>
    <w:rsid w:val="00882500"/>
    <w:rsid w:val="008829B5"/>
    <w:rsid w:val="008835F8"/>
    <w:rsid w:val="0088389D"/>
    <w:rsid w:val="008839E8"/>
    <w:rsid w:val="00884B9E"/>
    <w:rsid w:val="00885D3C"/>
    <w:rsid w:val="0088612E"/>
    <w:rsid w:val="0088689E"/>
    <w:rsid w:val="008913E8"/>
    <w:rsid w:val="00892AB2"/>
    <w:rsid w:val="00892D31"/>
    <w:rsid w:val="00893108"/>
    <w:rsid w:val="00894FB3"/>
    <w:rsid w:val="00896E1E"/>
    <w:rsid w:val="008A0146"/>
    <w:rsid w:val="008A0483"/>
    <w:rsid w:val="008A0F2F"/>
    <w:rsid w:val="008A1AC8"/>
    <w:rsid w:val="008A2855"/>
    <w:rsid w:val="008A2F7D"/>
    <w:rsid w:val="008A41E4"/>
    <w:rsid w:val="008A48AE"/>
    <w:rsid w:val="008A50EB"/>
    <w:rsid w:val="008A5F1B"/>
    <w:rsid w:val="008A6D80"/>
    <w:rsid w:val="008A6EEC"/>
    <w:rsid w:val="008B046C"/>
    <w:rsid w:val="008B19A8"/>
    <w:rsid w:val="008B1B8D"/>
    <w:rsid w:val="008B26D9"/>
    <w:rsid w:val="008B280C"/>
    <w:rsid w:val="008B3379"/>
    <w:rsid w:val="008B3E12"/>
    <w:rsid w:val="008B4655"/>
    <w:rsid w:val="008B64C0"/>
    <w:rsid w:val="008B7698"/>
    <w:rsid w:val="008B77E9"/>
    <w:rsid w:val="008B7A07"/>
    <w:rsid w:val="008C0CB8"/>
    <w:rsid w:val="008C2AB2"/>
    <w:rsid w:val="008C3283"/>
    <w:rsid w:val="008C33FF"/>
    <w:rsid w:val="008C36C2"/>
    <w:rsid w:val="008C37FB"/>
    <w:rsid w:val="008C3A56"/>
    <w:rsid w:val="008C448B"/>
    <w:rsid w:val="008C7350"/>
    <w:rsid w:val="008D1FBD"/>
    <w:rsid w:val="008D293B"/>
    <w:rsid w:val="008D2D74"/>
    <w:rsid w:val="008D32CA"/>
    <w:rsid w:val="008D342E"/>
    <w:rsid w:val="008D3799"/>
    <w:rsid w:val="008D3B3B"/>
    <w:rsid w:val="008D44F3"/>
    <w:rsid w:val="008D4FE2"/>
    <w:rsid w:val="008D7143"/>
    <w:rsid w:val="008E1A25"/>
    <w:rsid w:val="008E24F1"/>
    <w:rsid w:val="008E2AF7"/>
    <w:rsid w:val="008E2F00"/>
    <w:rsid w:val="008E38C6"/>
    <w:rsid w:val="008E3DFC"/>
    <w:rsid w:val="008E4D43"/>
    <w:rsid w:val="008E6180"/>
    <w:rsid w:val="008E64FA"/>
    <w:rsid w:val="008F1341"/>
    <w:rsid w:val="008F18F7"/>
    <w:rsid w:val="008F1A6D"/>
    <w:rsid w:val="008F32F8"/>
    <w:rsid w:val="008F33E5"/>
    <w:rsid w:val="008F45BD"/>
    <w:rsid w:val="008F513E"/>
    <w:rsid w:val="008F68EB"/>
    <w:rsid w:val="008F6F66"/>
    <w:rsid w:val="008F7035"/>
    <w:rsid w:val="008F7831"/>
    <w:rsid w:val="009004C1"/>
    <w:rsid w:val="00900C41"/>
    <w:rsid w:val="00901525"/>
    <w:rsid w:val="00905E0A"/>
    <w:rsid w:val="00906066"/>
    <w:rsid w:val="00906835"/>
    <w:rsid w:val="00907000"/>
    <w:rsid w:val="00907B52"/>
    <w:rsid w:val="00907D46"/>
    <w:rsid w:val="00907E59"/>
    <w:rsid w:val="009103DF"/>
    <w:rsid w:val="00910F12"/>
    <w:rsid w:val="00912191"/>
    <w:rsid w:val="009121EE"/>
    <w:rsid w:val="00912EFC"/>
    <w:rsid w:val="0091318D"/>
    <w:rsid w:val="00914403"/>
    <w:rsid w:val="00915D79"/>
    <w:rsid w:val="009166EA"/>
    <w:rsid w:val="00920199"/>
    <w:rsid w:val="009202FF"/>
    <w:rsid w:val="0092034E"/>
    <w:rsid w:val="00923246"/>
    <w:rsid w:val="00924CDB"/>
    <w:rsid w:val="00926280"/>
    <w:rsid w:val="00926E39"/>
    <w:rsid w:val="00927079"/>
    <w:rsid w:val="0093026C"/>
    <w:rsid w:val="00930E32"/>
    <w:rsid w:val="00930FB0"/>
    <w:rsid w:val="009320AC"/>
    <w:rsid w:val="009322DF"/>
    <w:rsid w:val="00934E13"/>
    <w:rsid w:val="009351F5"/>
    <w:rsid w:val="00936EE9"/>
    <w:rsid w:val="0094043C"/>
    <w:rsid w:val="00944D42"/>
    <w:rsid w:val="00947BAB"/>
    <w:rsid w:val="0095007F"/>
    <w:rsid w:val="009501A9"/>
    <w:rsid w:val="00951129"/>
    <w:rsid w:val="0095154B"/>
    <w:rsid w:val="009516EB"/>
    <w:rsid w:val="00952839"/>
    <w:rsid w:val="009528A7"/>
    <w:rsid w:val="00952915"/>
    <w:rsid w:val="00953072"/>
    <w:rsid w:val="009557DB"/>
    <w:rsid w:val="00955CE1"/>
    <w:rsid w:val="0095659B"/>
    <w:rsid w:val="00956859"/>
    <w:rsid w:val="009601DA"/>
    <w:rsid w:val="00960AAC"/>
    <w:rsid w:val="00960EE3"/>
    <w:rsid w:val="0096132A"/>
    <w:rsid w:val="009617D0"/>
    <w:rsid w:val="00961B0F"/>
    <w:rsid w:val="00961FEF"/>
    <w:rsid w:val="00962056"/>
    <w:rsid w:val="00962EE9"/>
    <w:rsid w:val="009639DF"/>
    <w:rsid w:val="00963C9E"/>
    <w:rsid w:val="0096433A"/>
    <w:rsid w:val="00965F32"/>
    <w:rsid w:val="00967129"/>
    <w:rsid w:val="00967D84"/>
    <w:rsid w:val="009708F3"/>
    <w:rsid w:val="00970A89"/>
    <w:rsid w:val="00971044"/>
    <w:rsid w:val="00972FE1"/>
    <w:rsid w:val="00974E7B"/>
    <w:rsid w:val="00974FD3"/>
    <w:rsid w:val="00975BCF"/>
    <w:rsid w:val="0097662A"/>
    <w:rsid w:val="00976747"/>
    <w:rsid w:val="00976881"/>
    <w:rsid w:val="00976F97"/>
    <w:rsid w:val="00977747"/>
    <w:rsid w:val="0098037A"/>
    <w:rsid w:val="00981F8F"/>
    <w:rsid w:val="00982C24"/>
    <w:rsid w:val="00982E9A"/>
    <w:rsid w:val="009835A7"/>
    <w:rsid w:val="009843A3"/>
    <w:rsid w:val="00985284"/>
    <w:rsid w:val="009873CD"/>
    <w:rsid w:val="00987B60"/>
    <w:rsid w:val="00987BB6"/>
    <w:rsid w:val="00991D17"/>
    <w:rsid w:val="00991EDE"/>
    <w:rsid w:val="00993764"/>
    <w:rsid w:val="00994A94"/>
    <w:rsid w:val="00995890"/>
    <w:rsid w:val="00995BF4"/>
    <w:rsid w:val="0099669B"/>
    <w:rsid w:val="009971A3"/>
    <w:rsid w:val="0099720E"/>
    <w:rsid w:val="009A1836"/>
    <w:rsid w:val="009A18B4"/>
    <w:rsid w:val="009A255F"/>
    <w:rsid w:val="009A284E"/>
    <w:rsid w:val="009A2D71"/>
    <w:rsid w:val="009A51C0"/>
    <w:rsid w:val="009A6F0F"/>
    <w:rsid w:val="009A749B"/>
    <w:rsid w:val="009A766C"/>
    <w:rsid w:val="009B0C0C"/>
    <w:rsid w:val="009B0C16"/>
    <w:rsid w:val="009B56A1"/>
    <w:rsid w:val="009B61C3"/>
    <w:rsid w:val="009B6FB4"/>
    <w:rsid w:val="009B7028"/>
    <w:rsid w:val="009B735A"/>
    <w:rsid w:val="009B74A6"/>
    <w:rsid w:val="009B7637"/>
    <w:rsid w:val="009B7EDA"/>
    <w:rsid w:val="009C1986"/>
    <w:rsid w:val="009C2D58"/>
    <w:rsid w:val="009C3B02"/>
    <w:rsid w:val="009C4EDA"/>
    <w:rsid w:val="009C642C"/>
    <w:rsid w:val="009D0BD2"/>
    <w:rsid w:val="009D1601"/>
    <w:rsid w:val="009D2020"/>
    <w:rsid w:val="009D41AD"/>
    <w:rsid w:val="009D77F1"/>
    <w:rsid w:val="009D7EBC"/>
    <w:rsid w:val="009E06FB"/>
    <w:rsid w:val="009E0920"/>
    <w:rsid w:val="009E1375"/>
    <w:rsid w:val="009E39E9"/>
    <w:rsid w:val="009E49CD"/>
    <w:rsid w:val="009E5AF1"/>
    <w:rsid w:val="009E68C2"/>
    <w:rsid w:val="009E6FC4"/>
    <w:rsid w:val="009E73F8"/>
    <w:rsid w:val="009F190D"/>
    <w:rsid w:val="009F3C23"/>
    <w:rsid w:val="009F4118"/>
    <w:rsid w:val="009F506D"/>
    <w:rsid w:val="009F5724"/>
    <w:rsid w:val="009F5A04"/>
    <w:rsid w:val="009F71B6"/>
    <w:rsid w:val="009F7208"/>
    <w:rsid w:val="00A003D3"/>
    <w:rsid w:val="00A00C58"/>
    <w:rsid w:val="00A0127B"/>
    <w:rsid w:val="00A0155E"/>
    <w:rsid w:val="00A0211C"/>
    <w:rsid w:val="00A034D8"/>
    <w:rsid w:val="00A036F0"/>
    <w:rsid w:val="00A04C89"/>
    <w:rsid w:val="00A05045"/>
    <w:rsid w:val="00A05D6F"/>
    <w:rsid w:val="00A06967"/>
    <w:rsid w:val="00A06C52"/>
    <w:rsid w:val="00A1092B"/>
    <w:rsid w:val="00A10AFE"/>
    <w:rsid w:val="00A10BBF"/>
    <w:rsid w:val="00A10C5A"/>
    <w:rsid w:val="00A1198E"/>
    <w:rsid w:val="00A1242B"/>
    <w:rsid w:val="00A13EDA"/>
    <w:rsid w:val="00A14A19"/>
    <w:rsid w:val="00A16703"/>
    <w:rsid w:val="00A17BFD"/>
    <w:rsid w:val="00A200EE"/>
    <w:rsid w:val="00A206E9"/>
    <w:rsid w:val="00A20D9A"/>
    <w:rsid w:val="00A223D5"/>
    <w:rsid w:val="00A227B5"/>
    <w:rsid w:val="00A239B6"/>
    <w:rsid w:val="00A24858"/>
    <w:rsid w:val="00A251B6"/>
    <w:rsid w:val="00A25688"/>
    <w:rsid w:val="00A279B3"/>
    <w:rsid w:val="00A30B1F"/>
    <w:rsid w:val="00A30EF0"/>
    <w:rsid w:val="00A32C4E"/>
    <w:rsid w:val="00A34BB1"/>
    <w:rsid w:val="00A35A69"/>
    <w:rsid w:val="00A35AD9"/>
    <w:rsid w:val="00A35B82"/>
    <w:rsid w:val="00A365DD"/>
    <w:rsid w:val="00A40F89"/>
    <w:rsid w:val="00A427CA"/>
    <w:rsid w:val="00A42894"/>
    <w:rsid w:val="00A43193"/>
    <w:rsid w:val="00A44BD7"/>
    <w:rsid w:val="00A44DFB"/>
    <w:rsid w:val="00A45A9B"/>
    <w:rsid w:val="00A460B1"/>
    <w:rsid w:val="00A465D2"/>
    <w:rsid w:val="00A47A58"/>
    <w:rsid w:val="00A50142"/>
    <w:rsid w:val="00A50341"/>
    <w:rsid w:val="00A505EC"/>
    <w:rsid w:val="00A510EE"/>
    <w:rsid w:val="00A513EC"/>
    <w:rsid w:val="00A5156F"/>
    <w:rsid w:val="00A52033"/>
    <w:rsid w:val="00A52695"/>
    <w:rsid w:val="00A5336B"/>
    <w:rsid w:val="00A5350D"/>
    <w:rsid w:val="00A56B3D"/>
    <w:rsid w:val="00A570DC"/>
    <w:rsid w:val="00A572CE"/>
    <w:rsid w:val="00A57D9F"/>
    <w:rsid w:val="00A618E1"/>
    <w:rsid w:val="00A61AB7"/>
    <w:rsid w:val="00A62282"/>
    <w:rsid w:val="00A64A22"/>
    <w:rsid w:val="00A666B4"/>
    <w:rsid w:val="00A67824"/>
    <w:rsid w:val="00A67B51"/>
    <w:rsid w:val="00A7062E"/>
    <w:rsid w:val="00A7143A"/>
    <w:rsid w:val="00A71D86"/>
    <w:rsid w:val="00A7293E"/>
    <w:rsid w:val="00A731E9"/>
    <w:rsid w:val="00A73579"/>
    <w:rsid w:val="00A74CF2"/>
    <w:rsid w:val="00A750DF"/>
    <w:rsid w:val="00A75CD9"/>
    <w:rsid w:val="00A768E4"/>
    <w:rsid w:val="00A768ED"/>
    <w:rsid w:val="00A76A20"/>
    <w:rsid w:val="00A77C48"/>
    <w:rsid w:val="00A80314"/>
    <w:rsid w:val="00A826F0"/>
    <w:rsid w:val="00A82776"/>
    <w:rsid w:val="00A8316A"/>
    <w:rsid w:val="00A831C6"/>
    <w:rsid w:val="00A845C3"/>
    <w:rsid w:val="00A86330"/>
    <w:rsid w:val="00A908F3"/>
    <w:rsid w:val="00A93E10"/>
    <w:rsid w:val="00A94939"/>
    <w:rsid w:val="00A94F02"/>
    <w:rsid w:val="00A9596F"/>
    <w:rsid w:val="00A961B3"/>
    <w:rsid w:val="00A96374"/>
    <w:rsid w:val="00A97B4B"/>
    <w:rsid w:val="00AA2E60"/>
    <w:rsid w:val="00AA42CA"/>
    <w:rsid w:val="00AA7033"/>
    <w:rsid w:val="00AA733F"/>
    <w:rsid w:val="00AA7C46"/>
    <w:rsid w:val="00AB0782"/>
    <w:rsid w:val="00AB3257"/>
    <w:rsid w:val="00AB50C1"/>
    <w:rsid w:val="00AB5A9D"/>
    <w:rsid w:val="00AB5FE8"/>
    <w:rsid w:val="00AB6D8D"/>
    <w:rsid w:val="00AC2505"/>
    <w:rsid w:val="00AC2542"/>
    <w:rsid w:val="00AC3F04"/>
    <w:rsid w:val="00AC4B62"/>
    <w:rsid w:val="00AC55DF"/>
    <w:rsid w:val="00AC64E5"/>
    <w:rsid w:val="00AC6E7D"/>
    <w:rsid w:val="00AC74BE"/>
    <w:rsid w:val="00AD0580"/>
    <w:rsid w:val="00AD2BEE"/>
    <w:rsid w:val="00AD3172"/>
    <w:rsid w:val="00AD3408"/>
    <w:rsid w:val="00AD4EB7"/>
    <w:rsid w:val="00AD566A"/>
    <w:rsid w:val="00AE1062"/>
    <w:rsid w:val="00AE15F1"/>
    <w:rsid w:val="00AE1CBF"/>
    <w:rsid w:val="00AE2F9D"/>
    <w:rsid w:val="00AE3C46"/>
    <w:rsid w:val="00AE44F1"/>
    <w:rsid w:val="00AE58D6"/>
    <w:rsid w:val="00AE5B58"/>
    <w:rsid w:val="00AE5F5A"/>
    <w:rsid w:val="00AE6AA0"/>
    <w:rsid w:val="00AF1F69"/>
    <w:rsid w:val="00AF40EC"/>
    <w:rsid w:val="00AF5118"/>
    <w:rsid w:val="00AF5464"/>
    <w:rsid w:val="00AF5EA7"/>
    <w:rsid w:val="00AF5FDD"/>
    <w:rsid w:val="00AF6691"/>
    <w:rsid w:val="00AF7663"/>
    <w:rsid w:val="00B01B63"/>
    <w:rsid w:val="00B01FC9"/>
    <w:rsid w:val="00B03199"/>
    <w:rsid w:val="00B03424"/>
    <w:rsid w:val="00B04E2D"/>
    <w:rsid w:val="00B06338"/>
    <w:rsid w:val="00B06485"/>
    <w:rsid w:val="00B06DB1"/>
    <w:rsid w:val="00B079C7"/>
    <w:rsid w:val="00B11396"/>
    <w:rsid w:val="00B11417"/>
    <w:rsid w:val="00B11B32"/>
    <w:rsid w:val="00B13C90"/>
    <w:rsid w:val="00B13EB9"/>
    <w:rsid w:val="00B145F6"/>
    <w:rsid w:val="00B152AC"/>
    <w:rsid w:val="00B164D9"/>
    <w:rsid w:val="00B175CF"/>
    <w:rsid w:val="00B17DD3"/>
    <w:rsid w:val="00B20391"/>
    <w:rsid w:val="00B22265"/>
    <w:rsid w:val="00B22709"/>
    <w:rsid w:val="00B238CA"/>
    <w:rsid w:val="00B249A4"/>
    <w:rsid w:val="00B25BF7"/>
    <w:rsid w:val="00B265D4"/>
    <w:rsid w:val="00B2668D"/>
    <w:rsid w:val="00B26D10"/>
    <w:rsid w:val="00B27116"/>
    <w:rsid w:val="00B30A65"/>
    <w:rsid w:val="00B329DB"/>
    <w:rsid w:val="00B329F8"/>
    <w:rsid w:val="00B3497C"/>
    <w:rsid w:val="00B3648F"/>
    <w:rsid w:val="00B36801"/>
    <w:rsid w:val="00B36A7A"/>
    <w:rsid w:val="00B36E86"/>
    <w:rsid w:val="00B37538"/>
    <w:rsid w:val="00B40A85"/>
    <w:rsid w:val="00B414E9"/>
    <w:rsid w:val="00B42A87"/>
    <w:rsid w:val="00B42C42"/>
    <w:rsid w:val="00B43C4B"/>
    <w:rsid w:val="00B44DBD"/>
    <w:rsid w:val="00B453CD"/>
    <w:rsid w:val="00B45964"/>
    <w:rsid w:val="00B47781"/>
    <w:rsid w:val="00B50962"/>
    <w:rsid w:val="00B509CF"/>
    <w:rsid w:val="00B513CB"/>
    <w:rsid w:val="00B51FAC"/>
    <w:rsid w:val="00B5287F"/>
    <w:rsid w:val="00B55351"/>
    <w:rsid w:val="00B572C6"/>
    <w:rsid w:val="00B6138E"/>
    <w:rsid w:val="00B61AF9"/>
    <w:rsid w:val="00B622A5"/>
    <w:rsid w:val="00B6299E"/>
    <w:rsid w:val="00B63074"/>
    <w:rsid w:val="00B647D6"/>
    <w:rsid w:val="00B65644"/>
    <w:rsid w:val="00B659D6"/>
    <w:rsid w:val="00B65BA8"/>
    <w:rsid w:val="00B67634"/>
    <w:rsid w:val="00B70D1E"/>
    <w:rsid w:val="00B71314"/>
    <w:rsid w:val="00B71927"/>
    <w:rsid w:val="00B7201E"/>
    <w:rsid w:val="00B73696"/>
    <w:rsid w:val="00B75231"/>
    <w:rsid w:val="00B75A75"/>
    <w:rsid w:val="00B76237"/>
    <w:rsid w:val="00B81C11"/>
    <w:rsid w:val="00B81EBA"/>
    <w:rsid w:val="00B82C80"/>
    <w:rsid w:val="00B82E16"/>
    <w:rsid w:val="00B83B92"/>
    <w:rsid w:val="00B853A3"/>
    <w:rsid w:val="00B86136"/>
    <w:rsid w:val="00B87366"/>
    <w:rsid w:val="00B90143"/>
    <w:rsid w:val="00B93C57"/>
    <w:rsid w:val="00B94C4D"/>
    <w:rsid w:val="00B94DB4"/>
    <w:rsid w:val="00B959E6"/>
    <w:rsid w:val="00B96572"/>
    <w:rsid w:val="00B966B8"/>
    <w:rsid w:val="00B96DC2"/>
    <w:rsid w:val="00B9753F"/>
    <w:rsid w:val="00B97B63"/>
    <w:rsid w:val="00BA1FA1"/>
    <w:rsid w:val="00BA264F"/>
    <w:rsid w:val="00BA3D88"/>
    <w:rsid w:val="00BA5F58"/>
    <w:rsid w:val="00BA63B7"/>
    <w:rsid w:val="00BA6A60"/>
    <w:rsid w:val="00BA6EBE"/>
    <w:rsid w:val="00BB0868"/>
    <w:rsid w:val="00BB0AA2"/>
    <w:rsid w:val="00BB0D70"/>
    <w:rsid w:val="00BB160E"/>
    <w:rsid w:val="00BB1C56"/>
    <w:rsid w:val="00BB2119"/>
    <w:rsid w:val="00BB2E3A"/>
    <w:rsid w:val="00BB2E87"/>
    <w:rsid w:val="00BB4DE9"/>
    <w:rsid w:val="00BB5921"/>
    <w:rsid w:val="00BB70C0"/>
    <w:rsid w:val="00BB7238"/>
    <w:rsid w:val="00BC0220"/>
    <w:rsid w:val="00BC102D"/>
    <w:rsid w:val="00BC1BF1"/>
    <w:rsid w:val="00BC3F71"/>
    <w:rsid w:val="00BC48B3"/>
    <w:rsid w:val="00BC528E"/>
    <w:rsid w:val="00BC623D"/>
    <w:rsid w:val="00BC642C"/>
    <w:rsid w:val="00BC7623"/>
    <w:rsid w:val="00BC7C44"/>
    <w:rsid w:val="00BD0A9D"/>
    <w:rsid w:val="00BD1499"/>
    <w:rsid w:val="00BD1685"/>
    <w:rsid w:val="00BD218A"/>
    <w:rsid w:val="00BD232A"/>
    <w:rsid w:val="00BD6112"/>
    <w:rsid w:val="00BD6A8D"/>
    <w:rsid w:val="00BD6C7A"/>
    <w:rsid w:val="00BD71C0"/>
    <w:rsid w:val="00BD7B62"/>
    <w:rsid w:val="00BE0289"/>
    <w:rsid w:val="00BE1753"/>
    <w:rsid w:val="00BE30DC"/>
    <w:rsid w:val="00BE3D64"/>
    <w:rsid w:val="00BE3E84"/>
    <w:rsid w:val="00BE406F"/>
    <w:rsid w:val="00BE4CAB"/>
    <w:rsid w:val="00BE51F5"/>
    <w:rsid w:val="00BE6173"/>
    <w:rsid w:val="00BE6D3B"/>
    <w:rsid w:val="00BE6E73"/>
    <w:rsid w:val="00BE779F"/>
    <w:rsid w:val="00BE78CC"/>
    <w:rsid w:val="00BE7BE9"/>
    <w:rsid w:val="00BF1696"/>
    <w:rsid w:val="00BF1725"/>
    <w:rsid w:val="00BF23D7"/>
    <w:rsid w:val="00BF42BE"/>
    <w:rsid w:val="00BF44A8"/>
    <w:rsid w:val="00BF46F8"/>
    <w:rsid w:val="00BF5E06"/>
    <w:rsid w:val="00C010FA"/>
    <w:rsid w:val="00C01C9B"/>
    <w:rsid w:val="00C0240C"/>
    <w:rsid w:val="00C02982"/>
    <w:rsid w:val="00C02D81"/>
    <w:rsid w:val="00C044AC"/>
    <w:rsid w:val="00C04B7A"/>
    <w:rsid w:val="00C0501A"/>
    <w:rsid w:val="00C06498"/>
    <w:rsid w:val="00C109BB"/>
    <w:rsid w:val="00C117CB"/>
    <w:rsid w:val="00C11EDA"/>
    <w:rsid w:val="00C12D4D"/>
    <w:rsid w:val="00C12D81"/>
    <w:rsid w:val="00C12F61"/>
    <w:rsid w:val="00C138DB"/>
    <w:rsid w:val="00C14660"/>
    <w:rsid w:val="00C149D0"/>
    <w:rsid w:val="00C154FA"/>
    <w:rsid w:val="00C1584D"/>
    <w:rsid w:val="00C15994"/>
    <w:rsid w:val="00C16571"/>
    <w:rsid w:val="00C171F8"/>
    <w:rsid w:val="00C17BBD"/>
    <w:rsid w:val="00C2103F"/>
    <w:rsid w:val="00C21F7A"/>
    <w:rsid w:val="00C21F91"/>
    <w:rsid w:val="00C221AA"/>
    <w:rsid w:val="00C22250"/>
    <w:rsid w:val="00C24B3D"/>
    <w:rsid w:val="00C2561B"/>
    <w:rsid w:val="00C25F97"/>
    <w:rsid w:val="00C266D3"/>
    <w:rsid w:val="00C2773B"/>
    <w:rsid w:val="00C3185C"/>
    <w:rsid w:val="00C32073"/>
    <w:rsid w:val="00C32587"/>
    <w:rsid w:val="00C32AFD"/>
    <w:rsid w:val="00C33A01"/>
    <w:rsid w:val="00C340C4"/>
    <w:rsid w:val="00C34C41"/>
    <w:rsid w:val="00C359DE"/>
    <w:rsid w:val="00C35D70"/>
    <w:rsid w:val="00C365C2"/>
    <w:rsid w:val="00C375F2"/>
    <w:rsid w:val="00C4091E"/>
    <w:rsid w:val="00C412ED"/>
    <w:rsid w:val="00C416B5"/>
    <w:rsid w:val="00C42706"/>
    <w:rsid w:val="00C4371A"/>
    <w:rsid w:val="00C45ED9"/>
    <w:rsid w:val="00C469B9"/>
    <w:rsid w:val="00C51416"/>
    <w:rsid w:val="00C51685"/>
    <w:rsid w:val="00C5192E"/>
    <w:rsid w:val="00C52227"/>
    <w:rsid w:val="00C53091"/>
    <w:rsid w:val="00C5517E"/>
    <w:rsid w:val="00C554E0"/>
    <w:rsid w:val="00C55F26"/>
    <w:rsid w:val="00C57BD9"/>
    <w:rsid w:val="00C60135"/>
    <w:rsid w:val="00C603B9"/>
    <w:rsid w:val="00C61A17"/>
    <w:rsid w:val="00C66ABF"/>
    <w:rsid w:val="00C67547"/>
    <w:rsid w:val="00C7025C"/>
    <w:rsid w:val="00C70321"/>
    <w:rsid w:val="00C70A98"/>
    <w:rsid w:val="00C72C13"/>
    <w:rsid w:val="00C72D68"/>
    <w:rsid w:val="00C75B9F"/>
    <w:rsid w:val="00C75FAE"/>
    <w:rsid w:val="00C770DA"/>
    <w:rsid w:val="00C77370"/>
    <w:rsid w:val="00C77A61"/>
    <w:rsid w:val="00C81974"/>
    <w:rsid w:val="00C81ED7"/>
    <w:rsid w:val="00C82328"/>
    <w:rsid w:val="00C83697"/>
    <w:rsid w:val="00C8398F"/>
    <w:rsid w:val="00C859BF"/>
    <w:rsid w:val="00C85A12"/>
    <w:rsid w:val="00C85AB6"/>
    <w:rsid w:val="00C8783F"/>
    <w:rsid w:val="00C90E89"/>
    <w:rsid w:val="00C91AC0"/>
    <w:rsid w:val="00C92B24"/>
    <w:rsid w:val="00C93F7C"/>
    <w:rsid w:val="00C943B9"/>
    <w:rsid w:val="00C94913"/>
    <w:rsid w:val="00C9511E"/>
    <w:rsid w:val="00C9568E"/>
    <w:rsid w:val="00C960BC"/>
    <w:rsid w:val="00C96130"/>
    <w:rsid w:val="00C96508"/>
    <w:rsid w:val="00C9651D"/>
    <w:rsid w:val="00CA0342"/>
    <w:rsid w:val="00CA0AE3"/>
    <w:rsid w:val="00CA18C5"/>
    <w:rsid w:val="00CA1EAC"/>
    <w:rsid w:val="00CA1FC4"/>
    <w:rsid w:val="00CA3DB4"/>
    <w:rsid w:val="00CA4CA0"/>
    <w:rsid w:val="00CA4EDF"/>
    <w:rsid w:val="00CA6ACB"/>
    <w:rsid w:val="00CA7F84"/>
    <w:rsid w:val="00CB00CF"/>
    <w:rsid w:val="00CB0545"/>
    <w:rsid w:val="00CB0F69"/>
    <w:rsid w:val="00CB12B1"/>
    <w:rsid w:val="00CB15AA"/>
    <w:rsid w:val="00CB17FA"/>
    <w:rsid w:val="00CB1F33"/>
    <w:rsid w:val="00CB3429"/>
    <w:rsid w:val="00CB3BAD"/>
    <w:rsid w:val="00CB469F"/>
    <w:rsid w:val="00CB4F70"/>
    <w:rsid w:val="00CB5132"/>
    <w:rsid w:val="00CB55EE"/>
    <w:rsid w:val="00CB5E54"/>
    <w:rsid w:val="00CB5E87"/>
    <w:rsid w:val="00CB6AB4"/>
    <w:rsid w:val="00CB7D37"/>
    <w:rsid w:val="00CC0C80"/>
    <w:rsid w:val="00CC130E"/>
    <w:rsid w:val="00CC136F"/>
    <w:rsid w:val="00CC14E4"/>
    <w:rsid w:val="00CC19D0"/>
    <w:rsid w:val="00CC358D"/>
    <w:rsid w:val="00CC3FC8"/>
    <w:rsid w:val="00CC4A3D"/>
    <w:rsid w:val="00CC4A4E"/>
    <w:rsid w:val="00CC4A6A"/>
    <w:rsid w:val="00CC54B4"/>
    <w:rsid w:val="00CC61D7"/>
    <w:rsid w:val="00CD2BCA"/>
    <w:rsid w:val="00CD37FE"/>
    <w:rsid w:val="00CD5125"/>
    <w:rsid w:val="00CD51DA"/>
    <w:rsid w:val="00CD6144"/>
    <w:rsid w:val="00CD7005"/>
    <w:rsid w:val="00CD716B"/>
    <w:rsid w:val="00CE0457"/>
    <w:rsid w:val="00CE0F5F"/>
    <w:rsid w:val="00CE2253"/>
    <w:rsid w:val="00CE23AC"/>
    <w:rsid w:val="00CE3844"/>
    <w:rsid w:val="00CE3CDD"/>
    <w:rsid w:val="00CE3CF4"/>
    <w:rsid w:val="00CE59C6"/>
    <w:rsid w:val="00CE67A6"/>
    <w:rsid w:val="00CE69D3"/>
    <w:rsid w:val="00CE6E4F"/>
    <w:rsid w:val="00CF0511"/>
    <w:rsid w:val="00CF069E"/>
    <w:rsid w:val="00CF10B7"/>
    <w:rsid w:val="00CF2850"/>
    <w:rsid w:val="00CF4EBB"/>
    <w:rsid w:val="00CF7829"/>
    <w:rsid w:val="00CF7DBA"/>
    <w:rsid w:val="00D00542"/>
    <w:rsid w:val="00D01DE8"/>
    <w:rsid w:val="00D028D5"/>
    <w:rsid w:val="00D04FC3"/>
    <w:rsid w:val="00D05417"/>
    <w:rsid w:val="00D05571"/>
    <w:rsid w:val="00D119BF"/>
    <w:rsid w:val="00D12317"/>
    <w:rsid w:val="00D127EE"/>
    <w:rsid w:val="00D135D1"/>
    <w:rsid w:val="00D13C88"/>
    <w:rsid w:val="00D149A1"/>
    <w:rsid w:val="00D15090"/>
    <w:rsid w:val="00D16090"/>
    <w:rsid w:val="00D178DF"/>
    <w:rsid w:val="00D17C09"/>
    <w:rsid w:val="00D17E73"/>
    <w:rsid w:val="00D220D4"/>
    <w:rsid w:val="00D22354"/>
    <w:rsid w:val="00D224CD"/>
    <w:rsid w:val="00D229BE"/>
    <w:rsid w:val="00D24356"/>
    <w:rsid w:val="00D24756"/>
    <w:rsid w:val="00D2475E"/>
    <w:rsid w:val="00D24EFA"/>
    <w:rsid w:val="00D255D4"/>
    <w:rsid w:val="00D264B6"/>
    <w:rsid w:val="00D303D4"/>
    <w:rsid w:val="00D311EA"/>
    <w:rsid w:val="00D32337"/>
    <w:rsid w:val="00D330B1"/>
    <w:rsid w:val="00D37C99"/>
    <w:rsid w:val="00D41308"/>
    <w:rsid w:val="00D4161E"/>
    <w:rsid w:val="00D41988"/>
    <w:rsid w:val="00D42438"/>
    <w:rsid w:val="00D4307B"/>
    <w:rsid w:val="00D43114"/>
    <w:rsid w:val="00D442D1"/>
    <w:rsid w:val="00D44A0E"/>
    <w:rsid w:val="00D4571C"/>
    <w:rsid w:val="00D4663B"/>
    <w:rsid w:val="00D46EA7"/>
    <w:rsid w:val="00D4780A"/>
    <w:rsid w:val="00D5126C"/>
    <w:rsid w:val="00D513D6"/>
    <w:rsid w:val="00D5182F"/>
    <w:rsid w:val="00D56B99"/>
    <w:rsid w:val="00D577B6"/>
    <w:rsid w:val="00D57CE7"/>
    <w:rsid w:val="00D62745"/>
    <w:rsid w:val="00D62DAE"/>
    <w:rsid w:val="00D64FD4"/>
    <w:rsid w:val="00D653B5"/>
    <w:rsid w:val="00D676C1"/>
    <w:rsid w:val="00D67BED"/>
    <w:rsid w:val="00D67DBC"/>
    <w:rsid w:val="00D715E9"/>
    <w:rsid w:val="00D72091"/>
    <w:rsid w:val="00D7539E"/>
    <w:rsid w:val="00D75694"/>
    <w:rsid w:val="00D757B7"/>
    <w:rsid w:val="00D76164"/>
    <w:rsid w:val="00D76C3F"/>
    <w:rsid w:val="00D775AD"/>
    <w:rsid w:val="00D80476"/>
    <w:rsid w:val="00D81782"/>
    <w:rsid w:val="00D818FE"/>
    <w:rsid w:val="00D832FE"/>
    <w:rsid w:val="00D8566F"/>
    <w:rsid w:val="00D86D7B"/>
    <w:rsid w:val="00D87556"/>
    <w:rsid w:val="00D876C5"/>
    <w:rsid w:val="00D913AD"/>
    <w:rsid w:val="00D92071"/>
    <w:rsid w:val="00D92F50"/>
    <w:rsid w:val="00D9343B"/>
    <w:rsid w:val="00D937B0"/>
    <w:rsid w:val="00D94183"/>
    <w:rsid w:val="00D953C9"/>
    <w:rsid w:val="00D95C97"/>
    <w:rsid w:val="00D9633F"/>
    <w:rsid w:val="00D977B7"/>
    <w:rsid w:val="00D97A68"/>
    <w:rsid w:val="00D97B29"/>
    <w:rsid w:val="00DA0812"/>
    <w:rsid w:val="00DA0F01"/>
    <w:rsid w:val="00DA16A0"/>
    <w:rsid w:val="00DA35CC"/>
    <w:rsid w:val="00DA447E"/>
    <w:rsid w:val="00DA475D"/>
    <w:rsid w:val="00DA478B"/>
    <w:rsid w:val="00DA4DC9"/>
    <w:rsid w:val="00DA597B"/>
    <w:rsid w:val="00DA7471"/>
    <w:rsid w:val="00DA7671"/>
    <w:rsid w:val="00DB0439"/>
    <w:rsid w:val="00DB0899"/>
    <w:rsid w:val="00DB12F7"/>
    <w:rsid w:val="00DB26AD"/>
    <w:rsid w:val="00DB2757"/>
    <w:rsid w:val="00DB3973"/>
    <w:rsid w:val="00DB3EF0"/>
    <w:rsid w:val="00DB483D"/>
    <w:rsid w:val="00DB55CC"/>
    <w:rsid w:val="00DB56F4"/>
    <w:rsid w:val="00DB5968"/>
    <w:rsid w:val="00DB5FBD"/>
    <w:rsid w:val="00DB6C8E"/>
    <w:rsid w:val="00DB73EC"/>
    <w:rsid w:val="00DB7910"/>
    <w:rsid w:val="00DC2262"/>
    <w:rsid w:val="00DC26E9"/>
    <w:rsid w:val="00DC429F"/>
    <w:rsid w:val="00DC513E"/>
    <w:rsid w:val="00DC61FA"/>
    <w:rsid w:val="00DC6A18"/>
    <w:rsid w:val="00DC73D2"/>
    <w:rsid w:val="00DC7BA1"/>
    <w:rsid w:val="00DC7E22"/>
    <w:rsid w:val="00DD0B8D"/>
    <w:rsid w:val="00DD0F35"/>
    <w:rsid w:val="00DD112B"/>
    <w:rsid w:val="00DD32ED"/>
    <w:rsid w:val="00DD3525"/>
    <w:rsid w:val="00DD4417"/>
    <w:rsid w:val="00DD452E"/>
    <w:rsid w:val="00DD7E76"/>
    <w:rsid w:val="00DE1770"/>
    <w:rsid w:val="00DE4772"/>
    <w:rsid w:val="00DE47EF"/>
    <w:rsid w:val="00DE59DA"/>
    <w:rsid w:val="00DE5B9D"/>
    <w:rsid w:val="00DE69C5"/>
    <w:rsid w:val="00DF054C"/>
    <w:rsid w:val="00DF080D"/>
    <w:rsid w:val="00DF10FA"/>
    <w:rsid w:val="00DF2A77"/>
    <w:rsid w:val="00DF2DDC"/>
    <w:rsid w:val="00DF5A08"/>
    <w:rsid w:val="00DF6CF3"/>
    <w:rsid w:val="00DF7428"/>
    <w:rsid w:val="00E00033"/>
    <w:rsid w:val="00E00E0F"/>
    <w:rsid w:val="00E0143A"/>
    <w:rsid w:val="00E014AF"/>
    <w:rsid w:val="00E017B1"/>
    <w:rsid w:val="00E01F04"/>
    <w:rsid w:val="00E01F4E"/>
    <w:rsid w:val="00E030B3"/>
    <w:rsid w:val="00E03D14"/>
    <w:rsid w:val="00E049E8"/>
    <w:rsid w:val="00E04B91"/>
    <w:rsid w:val="00E04F95"/>
    <w:rsid w:val="00E0768B"/>
    <w:rsid w:val="00E07A2E"/>
    <w:rsid w:val="00E10289"/>
    <w:rsid w:val="00E1169F"/>
    <w:rsid w:val="00E12089"/>
    <w:rsid w:val="00E12228"/>
    <w:rsid w:val="00E128BB"/>
    <w:rsid w:val="00E14D23"/>
    <w:rsid w:val="00E174FC"/>
    <w:rsid w:val="00E1764B"/>
    <w:rsid w:val="00E206CE"/>
    <w:rsid w:val="00E21F8D"/>
    <w:rsid w:val="00E22699"/>
    <w:rsid w:val="00E2317C"/>
    <w:rsid w:val="00E23423"/>
    <w:rsid w:val="00E2472D"/>
    <w:rsid w:val="00E24C4A"/>
    <w:rsid w:val="00E259F4"/>
    <w:rsid w:val="00E25AF4"/>
    <w:rsid w:val="00E267EC"/>
    <w:rsid w:val="00E30A31"/>
    <w:rsid w:val="00E30A3A"/>
    <w:rsid w:val="00E31501"/>
    <w:rsid w:val="00E31745"/>
    <w:rsid w:val="00E31D68"/>
    <w:rsid w:val="00E3246F"/>
    <w:rsid w:val="00E34E30"/>
    <w:rsid w:val="00E35ADF"/>
    <w:rsid w:val="00E363AF"/>
    <w:rsid w:val="00E37488"/>
    <w:rsid w:val="00E377E0"/>
    <w:rsid w:val="00E40727"/>
    <w:rsid w:val="00E40CA7"/>
    <w:rsid w:val="00E4241D"/>
    <w:rsid w:val="00E4286A"/>
    <w:rsid w:val="00E4343A"/>
    <w:rsid w:val="00E43691"/>
    <w:rsid w:val="00E445E7"/>
    <w:rsid w:val="00E449C8"/>
    <w:rsid w:val="00E44A11"/>
    <w:rsid w:val="00E4541C"/>
    <w:rsid w:val="00E46B4A"/>
    <w:rsid w:val="00E46B62"/>
    <w:rsid w:val="00E47194"/>
    <w:rsid w:val="00E479D4"/>
    <w:rsid w:val="00E47AEF"/>
    <w:rsid w:val="00E50FDE"/>
    <w:rsid w:val="00E55694"/>
    <w:rsid w:val="00E56D0F"/>
    <w:rsid w:val="00E56FBF"/>
    <w:rsid w:val="00E60542"/>
    <w:rsid w:val="00E60B9E"/>
    <w:rsid w:val="00E60E14"/>
    <w:rsid w:val="00E61B34"/>
    <w:rsid w:val="00E63B75"/>
    <w:rsid w:val="00E64BC9"/>
    <w:rsid w:val="00E64F8F"/>
    <w:rsid w:val="00E658F2"/>
    <w:rsid w:val="00E678BA"/>
    <w:rsid w:val="00E67983"/>
    <w:rsid w:val="00E7074D"/>
    <w:rsid w:val="00E7132C"/>
    <w:rsid w:val="00E7328B"/>
    <w:rsid w:val="00E7413F"/>
    <w:rsid w:val="00E74963"/>
    <w:rsid w:val="00E75235"/>
    <w:rsid w:val="00E7648B"/>
    <w:rsid w:val="00E76494"/>
    <w:rsid w:val="00E765C4"/>
    <w:rsid w:val="00E771D7"/>
    <w:rsid w:val="00E7720E"/>
    <w:rsid w:val="00E7789C"/>
    <w:rsid w:val="00E77D26"/>
    <w:rsid w:val="00E81338"/>
    <w:rsid w:val="00E81B98"/>
    <w:rsid w:val="00E82468"/>
    <w:rsid w:val="00E838DB"/>
    <w:rsid w:val="00E83D33"/>
    <w:rsid w:val="00E84055"/>
    <w:rsid w:val="00E847D4"/>
    <w:rsid w:val="00E84AE7"/>
    <w:rsid w:val="00E854BE"/>
    <w:rsid w:val="00E86838"/>
    <w:rsid w:val="00E871A4"/>
    <w:rsid w:val="00E871AC"/>
    <w:rsid w:val="00E90B05"/>
    <w:rsid w:val="00E910AC"/>
    <w:rsid w:val="00E914EA"/>
    <w:rsid w:val="00E945FE"/>
    <w:rsid w:val="00E95CB3"/>
    <w:rsid w:val="00E96131"/>
    <w:rsid w:val="00E96216"/>
    <w:rsid w:val="00E976D0"/>
    <w:rsid w:val="00EA1532"/>
    <w:rsid w:val="00EA16FE"/>
    <w:rsid w:val="00EA3295"/>
    <w:rsid w:val="00EA3920"/>
    <w:rsid w:val="00EA6405"/>
    <w:rsid w:val="00EA6DFD"/>
    <w:rsid w:val="00EA7747"/>
    <w:rsid w:val="00EA7D89"/>
    <w:rsid w:val="00EB03A7"/>
    <w:rsid w:val="00EB065B"/>
    <w:rsid w:val="00EB14A4"/>
    <w:rsid w:val="00EB1E99"/>
    <w:rsid w:val="00EB31AD"/>
    <w:rsid w:val="00EB3B6F"/>
    <w:rsid w:val="00EB52AA"/>
    <w:rsid w:val="00EB5356"/>
    <w:rsid w:val="00EB69E6"/>
    <w:rsid w:val="00EB7002"/>
    <w:rsid w:val="00EC0AC5"/>
    <w:rsid w:val="00EC16A5"/>
    <w:rsid w:val="00EC2283"/>
    <w:rsid w:val="00EC276C"/>
    <w:rsid w:val="00EC481D"/>
    <w:rsid w:val="00EC4A1A"/>
    <w:rsid w:val="00EC4ABB"/>
    <w:rsid w:val="00EC504F"/>
    <w:rsid w:val="00EC5795"/>
    <w:rsid w:val="00EC70C9"/>
    <w:rsid w:val="00ED164B"/>
    <w:rsid w:val="00ED306C"/>
    <w:rsid w:val="00ED32B7"/>
    <w:rsid w:val="00ED35BB"/>
    <w:rsid w:val="00ED366E"/>
    <w:rsid w:val="00ED613B"/>
    <w:rsid w:val="00ED6318"/>
    <w:rsid w:val="00ED7364"/>
    <w:rsid w:val="00EE0E5D"/>
    <w:rsid w:val="00EE10BB"/>
    <w:rsid w:val="00EE307C"/>
    <w:rsid w:val="00EE379E"/>
    <w:rsid w:val="00EE3C45"/>
    <w:rsid w:val="00EE4E75"/>
    <w:rsid w:val="00EE5300"/>
    <w:rsid w:val="00EF0960"/>
    <w:rsid w:val="00EF15BB"/>
    <w:rsid w:val="00EF168E"/>
    <w:rsid w:val="00EF17C9"/>
    <w:rsid w:val="00EF17EE"/>
    <w:rsid w:val="00EF235F"/>
    <w:rsid w:val="00EF2DC7"/>
    <w:rsid w:val="00EF2F9B"/>
    <w:rsid w:val="00EF30FF"/>
    <w:rsid w:val="00EF36D2"/>
    <w:rsid w:val="00EF39C9"/>
    <w:rsid w:val="00EF3EAF"/>
    <w:rsid w:val="00EF44EC"/>
    <w:rsid w:val="00EF6634"/>
    <w:rsid w:val="00EF684F"/>
    <w:rsid w:val="00EF69F2"/>
    <w:rsid w:val="00EF7290"/>
    <w:rsid w:val="00F016A2"/>
    <w:rsid w:val="00F02EBE"/>
    <w:rsid w:val="00F03407"/>
    <w:rsid w:val="00F053FE"/>
    <w:rsid w:val="00F055FE"/>
    <w:rsid w:val="00F06148"/>
    <w:rsid w:val="00F10A61"/>
    <w:rsid w:val="00F1125E"/>
    <w:rsid w:val="00F115A0"/>
    <w:rsid w:val="00F12BE1"/>
    <w:rsid w:val="00F13080"/>
    <w:rsid w:val="00F13243"/>
    <w:rsid w:val="00F148DE"/>
    <w:rsid w:val="00F14AE6"/>
    <w:rsid w:val="00F16260"/>
    <w:rsid w:val="00F173ED"/>
    <w:rsid w:val="00F210F2"/>
    <w:rsid w:val="00F21D55"/>
    <w:rsid w:val="00F21F4A"/>
    <w:rsid w:val="00F21F53"/>
    <w:rsid w:val="00F22FA4"/>
    <w:rsid w:val="00F235D8"/>
    <w:rsid w:val="00F23BBB"/>
    <w:rsid w:val="00F2415A"/>
    <w:rsid w:val="00F2480A"/>
    <w:rsid w:val="00F2589A"/>
    <w:rsid w:val="00F26DC4"/>
    <w:rsid w:val="00F277B4"/>
    <w:rsid w:val="00F30894"/>
    <w:rsid w:val="00F311CC"/>
    <w:rsid w:val="00F312EB"/>
    <w:rsid w:val="00F331D2"/>
    <w:rsid w:val="00F33505"/>
    <w:rsid w:val="00F33AAC"/>
    <w:rsid w:val="00F341F7"/>
    <w:rsid w:val="00F342DB"/>
    <w:rsid w:val="00F34312"/>
    <w:rsid w:val="00F3449C"/>
    <w:rsid w:val="00F3452F"/>
    <w:rsid w:val="00F358FC"/>
    <w:rsid w:val="00F35949"/>
    <w:rsid w:val="00F35B61"/>
    <w:rsid w:val="00F36FE6"/>
    <w:rsid w:val="00F37017"/>
    <w:rsid w:val="00F37109"/>
    <w:rsid w:val="00F37D8A"/>
    <w:rsid w:val="00F42B07"/>
    <w:rsid w:val="00F42E4E"/>
    <w:rsid w:val="00F4494F"/>
    <w:rsid w:val="00F44A51"/>
    <w:rsid w:val="00F45CFE"/>
    <w:rsid w:val="00F464EC"/>
    <w:rsid w:val="00F46561"/>
    <w:rsid w:val="00F47D57"/>
    <w:rsid w:val="00F50FC6"/>
    <w:rsid w:val="00F51057"/>
    <w:rsid w:val="00F528F3"/>
    <w:rsid w:val="00F53356"/>
    <w:rsid w:val="00F537B3"/>
    <w:rsid w:val="00F537FF"/>
    <w:rsid w:val="00F53D1E"/>
    <w:rsid w:val="00F545C7"/>
    <w:rsid w:val="00F552D4"/>
    <w:rsid w:val="00F55D77"/>
    <w:rsid w:val="00F578C0"/>
    <w:rsid w:val="00F6028B"/>
    <w:rsid w:val="00F6052C"/>
    <w:rsid w:val="00F60C14"/>
    <w:rsid w:val="00F62657"/>
    <w:rsid w:val="00F62803"/>
    <w:rsid w:val="00F63270"/>
    <w:rsid w:val="00F64E41"/>
    <w:rsid w:val="00F67F18"/>
    <w:rsid w:val="00F701BA"/>
    <w:rsid w:val="00F704F8"/>
    <w:rsid w:val="00F710DF"/>
    <w:rsid w:val="00F7223F"/>
    <w:rsid w:val="00F73257"/>
    <w:rsid w:val="00F73840"/>
    <w:rsid w:val="00F749D5"/>
    <w:rsid w:val="00F75084"/>
    <w:rsid w:val="00F75716"/>
    <w:rsid w:val="00F7696E"/>
    <w:rsid w:val="00F77092"/>
    <w:rsid w:val="00F80688"/>
    <w:rsid w:val="00F81AC2"/>
    <w:rsid w:val="00F82AF4"/>
    <w:rsid w:val="00F82DF5"/>
    <w:rsid w:val="00F83140"/>
    <w:rsid w:val="00F83502"/>
    <w:rsid w:val="00F83E2E"/>
    <w:rsid w:val="00F84AA4"/>
    <w:rsid w:val="00F84EDF"/>
    <w:rsid w:val="00F8525A"/>
    <w:rsid w:val="00F8572F"/>
    <w:rsid w:val="00F86424"/>
    <w:rsid w:val="00F87657"/>
    <w:rsid w:val="00F8767A"/>
    <w:rsid w:val="00F879AE"/>
    <w:rsid w:val="00F91E36"/>
    <w:rsid w:val="00F933F9"/>
    <w:rsid w:val="00F94D92"/>
    <w:rsid w:val="00F94E16"/>
    <w:rsid w:val="00F95A5A"/>
    <w:rsid w:val="00F95C10"/>
    <w:rsid w:val="00F96FC4"/>
    <w:rsid w:val="00FA1700"/>
    <w:rsid w:val="00FA1740"/>
    <w:rsid w:val="00FA17DE"/>
    <w:rsid w:val="00FA3E11"/>
    <w:rsid w:val="00FA4FAB"/>
    <w:rsid w:val="00FA4FEF"/>
    <w:rsid w:val="00FA5CB3"/>
    <w:rsid w:val="00FA664E"/>
    <w:rsid w:val="00FA6D0A"/>
    <w:rsid w:val="00FA7897"/>
    <w:rsid w:val="00FB0031"/>
    <w:rsid w:val="00FB10E9"/>
    <w:rsid w:val="00FB32D1"/>
    <w:rsid w:val="00FB3448"/>
    <w:rsid w:val="00FB40C4"/>
    <w:rsid w:val="00FB505A"/>
    <w:rsid w:val="00FB5571"/>
    <w:rsid w:val="00FB7991"/>
    <w:rsid w:val="00FC1650"/>
    <w:rsid w:val="00FC1919"/>
    <w:rsid w:val="00FC1C70"/>
    <w:rsid w:val="00FC1D6C"/>
    <w:rsid w:val="00FC1F40"/>
    <w:rsid w:val="00FC2CD5"/>
    <w:rsid w:val="00FC47AB"/>
    <w:rsid w:val="00FC5DB7"/>
    <w:rsid w:val="00FC636B"/>
    <w:rsid w:val="00FC68C2"/>
    <w:rsid w:val="00FC6A6A"/>
    <w:rsid w:val="00FC6ECE"/>
    <w:rsid w:val="00FD02F9"/>
    <w:rsid w:val="00FD0B85"/>
    <w:rsid w:val="00FD0C8D"/>
    <w:rsid w:val="00FD2545"/>
    <w:rsid w:val="00FD5E9A"/>
    <w:rsid w:val="00FD6BC3"/>
    <w:rsid w:val="00FD76D9"/>
    <w:rsid w:val="00FE0208"/>
    <w:rsid w:val="00FE0A8F"/>
    <w:rsid w:val="00FE1025"/>
    <w:rsid w:val="00FE1B0E"/>
    <w:rsid w:val="00FE1E2D"/>
    <w:rsid w:val="00FE257D"/>
    <w:rsid w:val="00FE2A10"/>
    <w:rsid w:val="00FE2A77"/>
    <w:rsid w:val="00FE2EA0"/>
    <w:rsid w:val="00FE37D4"/>
    <w:rsid w:val="00FE5968"/>
    <w:rsid w:val="00FE6362"/>
    <w:rsid w:val="00FE70C3"/>
    <w:rsid w:val="00FE769A"/>
    <w:rsid w:val="00FF07AB"/>
    <w:rsid w:val="00FF0DA9"/>
    <w:rsid w:val="00FF0EB3"/>
    <w:rsid w:val="00FF1BEB"/>
    <w:rsid w:val="00FF1CE8"/>
    <w:rsid w:val="00FF1E37"/>
    <w:rsid w:val="00FF3480"/>
    <w:rsid w:val="00FF3E9A"/>
    <w:rsid w:val="00FF4054"/>
    <w:rsid w:val="00FF41FC"/>
    <w:rsid w:val="00FF4E83"/>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ED8"/>
  <w15:docId w15:val="{0DC03832-1B38-45A5-A4D8-F8F4C325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10"/>
    <w:pPr>
      <w:keepNext/>
      <w:keepLines/>
      <w:spacing w:before="240" w:after="0" w:line="360" w:lineRule="auto"/>
      <w:outlineLvl w:val="0"/>
    </w:pPr>
    <w:rPr>
      <w:rFonts w:eastAsiaTheme="majorEastAsia" w:cstheme="majorBidi"/>
      <w:b/>
      <w:kern w:val="0"/>
      <w:sz w:val="28"/>
      <w:szCs w:val="32"/>
      <w:lang w:eastAsia="ja-JP"/>
      <w14:ligatures w14:val="none"/>
    </w:rPr>
  </w:style>
  <w:style w:type="paragraph" w:styleId="Heading2">
    <w:name w:val="heading 2"/>
    <w:basedOn w:val="Normal"/>
    <w:next w:val="Normal"/>
    <w:link w:val="Heading2Char"/>
    <w:uiPriority w:val="9"/>
    <w:unhideWhenUsed/>
    <w:qFormat/>
    <w:rsid w:val="00A93E10"/>
    <w:pPr>
      <w:keepNext/>
      <w:keepLines/>
      <w:spacing w:before="160" w:after="120" w:line="276" w:lineRule="auto"/>
      <w:outlineLvl w:val="1"/>
    </w:pPr>
    <w:rPr>
      <w:rFonts w:ascii="Calibri" w:eastAsiaTheme="majorEastAsia" w:hAnsi="Calibri" w:cstheme="majorBidi"/>
      <w:b/>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10"/>
    <w:rPr>
      <w:rFonts w:eastAsiaTheme="majorEastAsia" w:cstheme="majorBidi"/>
      <w:b/>
      <w:kern w:val="0"/>
      <w:sz w:val="28"/>
      <w:szCs w:val="32"/>
      <w:lang w:eastAsia="ja-JP"/>
      <w14:ligatures w14:val="none"/>
    </w:rPr>
  </w:style>
  <w:style w:type="character" w:customStyle="1" w:styleId="Heading2Char">
    <w:name w:val="Heading 2 Char"/>
    <w:basedOn w:val="DefaultParagraphFont"/>
    <w:link w:val="Heading2"/>
    <w:uiPriority w:val="9"/>
    <w:rsid w:val="00A93E10"/>
    <w:rPr>
      <w:rFonts w:ascii="Calibri" w:eastAsiaTheme="majorEastAsia" w:hAnsi="Calibri" w:cstheme="majorBidi"/>
      <w:b/>
      <w:kern w:val="0"/>
      <w:szCs w:val="26"/>
      <w:lang w:eastAsia="ja-JP"/>
      <w14:ligatures w14:val="none"/>
    </w:rPr>
  </w:style>
  <w:style w:type="paragraph" w:styleId="NormalWeb">
    <w:name w:val="Normal (Web)"/>
    <w:basedOn w:val="Normal"/>
    <w:uiPriority w:val="99"/>
    <w:unhideWhenUsed/>
    <w:rsid w:val="00A93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93E10"/>
    <w:pPr>
      <w:spacing w:after="0" w:line="240" w:lineRule="auto"/>
    </w:pPr>
    <w:rPr>
      <w:rFonts w:eastAsiaTheme="minorEastAsia"/>
      <w:kern w:val="0"/>
      <w:lang w:eastAsia="ja-JP"/>
      <w14:ligatures w14:val="none"/>
    </w:rPr>
  </w:style>
  <w:style w:type="paragraph" w:customStyle="1" w:styleId="EndNoteBibliographyTitle">
    <w:name w:val="EndNote Bibliography Title"/>
    <w:basedOn w:val="Normal"/>
    <w:link w:val="EndNoteBibliographyTitleChar"/>
    <w:rsid w:val="006D1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D1E03"/>
    <w:rPr>
      <w:rFonts w:ascii="Calibri" w:hAnsi="Calibri" w:cs="Calibri"/>
      <w:noProof/>
    </w:rPr>
  </w:style>
  <w:style w:type="paragraph" w:customStyle="1" w:styleId="EndNoteBibliography">
    <w:name w:val="EndNote Bibliography"/>
    <w:basedOn w:val="Normal"/>
    <w:link w:val="EndNoteBibliographyChar"/>
    <w:rsid w:val="006D1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D1E03"/>
    <w:rPr>
      <w:rFonts w:ascii="Calibri" w:hAnsi="Calibri" w:cs="Calibri"/>
      <w:noProof/>
    </w:rPr>
  </w:style>
  <w:style w:type="character" w:styleId="Hyperlink">
    <w:name w:val="Hyperlink"/>
    <w:basedOn w:val="DefaultParagraphFont"/>
    <w:uiPriority w:val="99"/>
    <w:unhideWhenUsed/>
    <w:rsid w:val="006D1E03"/>
    <w:rPr>
      <w:color w:val="0563C1" w:themeColor="hyperlink"/>
      <w:u w:val="single"/>
    </w:rPr>
  </w:style>
  <w:style w:type="character" w:styleId="UnresolvedMention">
    <w:name w:val="Unresolved Mention"/>
    <w:basedOn w:val="DefaultParagraphFont"/>
    <w:uiPriority w:val="99"/>
    <w:semiHidden/>
    <w:unhideWhenUsed/>
    <w:rsid w:val="006D1E03"/>
    <w:rPr>
      <w:color w:val="605E5C"/>
      <w:shd w:val="clear" w:color="auto" w:fill="E1DFDD"/>
    </w:rPr>
  </w:style>
  <w:style w:type="character" w:styleId="Emphasis">
    <w:name w:val="Emphasis"/>
    <w:basedOn w:val="DefaultParagraphFont"/>
    <w:uiPriority w:val="20"/>
    <w:qFormat/>
    <w:rsid w:val="00422773"/>
    <w:rPr>
      <w:i/>
      <w:iCs/>
    </w:rPr>
  </w:style>
  <w:style w:type="paragraph" w:customStyle="1" w:styleId="p">
    <w:name w:val="p"/>
    <w:basedOn w:val="Normal"/>
    <w:rsid w:val="00EF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7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976F97"/>
  </w:style>
  <w:style w:type="character" w:customStyle="1" w:styleId="articletitle">
    <w:name w:val="articletitle"/>
    <w:basedOn w:val="DefaultParagraphFont"/>
    <w:rsid w:val="00976F97"/>
  </w:style>
  <w:style w:type="character" w:customStyle="1" w:styleId="pubyear">
    <w:name w:val="pubyear"/>
    <w:basedOn w:val="DefaultParagraphFont"/>
    <w:rsid w:val="00976F97"/>
  </w:style>
  <w:style w:type="character" w:customStyle="1" w:styleId="vol">
    <w:name w:val="vol"/>
    <w:basedOn w:val="DefaultParagraphFont"/>
    <w:rsid w:val="0061765C"/>
  </w:style>
  <w:style w:type="character" w:customStyle="1" w:styleId="citedissue">
    <w:name w:val="citedissue"/>
    <w:basedOn w:val="DefaultParagraphFont"/>
    <w:rsid w:val="0061765C"/>
  </w:style>
  <w:style w:type="character" w:customStyle="1" w:styleId="pagefirst">
    <w:name w:val="pagefirst"/>
    <w:basedOn w:val="DefaultParagraphFont"/>
    <w:rsid w:val="0061765C"/>
  </w:style>
  <w:style w:type="character" w:customStyle="1" w:styleId="pagelast">
    <w:name w:val="pagelast"/>
    <w:basedOn w:val="DefaultParagraphFont"/>
    <w:rsid w:val="0061765C"/>
  </w:style>
  <w:style w:type="character" w:styleId="FollowedHyperlink">
    <w:name w:val="FollowedHyperlink"/>
    <w:basedOn w:val="DefaultParagraphFont"/>
    <w:uiPriority w:val="99"/>
    <w:semiHidden/>
    <w:unhideWhenUsed/>
    <w:rsid w:val="00977747"/>
    <w:rPr>
      <w:color w:val="954F72" w:themeColor="followedHyperlink"/>
      <w:u w:val="single"/>
    </w:rPr>
  </w:style>
  <w:style w:type="character" w:styleId="CommentReference">
    <w:name w:val="annotation reference"/>
    <w:basedOn w:val="DefaultParagraphFont"/>
    <w:uiPriority w:val="99"/>
    <w:semiHidden/>
    <w:unhideWhenUsed/>
    <w:rsid w:val="008B3E12"/>
    <w:rPr>
      <w:sz w:val="16"/>
      <w:szCs w:val="16"/>
    </w:rPr>
  </w:style>
  <w:style w:type="paragraph" w:styleId="CommentText">
    <w:name w:val="annotation text"/>
    <w:basedOn w:val="Normal"/>
    <w:link w:val="CommentTextChar"/>
    <w:uiPriority w:val="99"/>
    <w:unhideWhenUsed/>
    <w:rsid w:val="008B3E12"/>
    <w:pPr>
      <w:spacing w:after="200" w:line="240" w:lineRule="auto"/>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rsid w:val="008B3E12"/>
    <w:rPr>
      <w:rFonts w:eastAsiaTheme="minorEastAsia"/>
      <w:kern w:val="0"/>
      <w:sz w:val="20"/>
      <w:szCs w:val="20"/>
      <w:lang w:eastAsia="ja-JP"/>
      <w14:ligatures w14:val="none"/>
    </w:rPr>
  </w:style>
  <w:style w:type="character" w:styleId="Strong">
    <w:name w:val="Strong"/>
    <w:basedOn w:val="DefaultParagraphFont"/>
    <w:uiPriority w:val="22"/>
    <w:qFormat/>
    <w:rsid w:val="00EF17EE"/>
    <w:rPr>
      <w:b/>
      <w:bCs/>
    </w:rPr>
  </w:style>
  <w:style w:type="paragraph" w:styleId="CommentSubject">
    <w:name w:val="annotation subject"/>
    <w:basedOn w:val="CommentText"/>
    <w:next w:val="CommentText"/>
    <w:link w:val="CommentSubjectChar"/>
    <w:uiPriority w:val="99"/>
    <w:semiHidden/>
    <w:unhideWhenUsed/>
    <w:rsid w:val="008C37FB"/>
    <w:pPr>
      <w:spacing w:after="160"/>
    </w:pPr>
    <w:rPr>
      <w:rFonts w:eastAsiaTheme="minorHAns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8C37FB"/>
    <w:rPr>
      <w:rFonts w:eastAsiaTheme="minorEastAsia"/>
      <w:b/>
      <w:bCs/>
      <w:kern w:val="0"/>
      <w:sz w:val="20"/>
      <w:szCs w:val="20"/>
      <w:lang w:eastAsia="ja-JP"/>
      <w14:ligatures w14:val="none"/>
    </w:rPr>
  </w:style>
  <w:style w:type="paragraph" w:styleId="ListParagraph">
    <w:name w:val="List Paragraph"/>
    <w:basedOn w:val="Normal"/>
    <w:uiPriority w:val="34"/>
    <w:qFormat/>
    <w:rsid w:val="00DB3EF0"/>
    <w:pPr>
      <w:spacing w:after="200" w:line="276" w:lineRule="auto"/>
      <w:ind w:left="720"/>
      <w:contextualSpacing/>
    </w:pPr>
    <w:rPr>
      <w:rFonts w:eastAsiaTheme="minorEastAsia"/>
      <w:kern w:val="0"/>
      <w:lang w:eastAsia="ja-JP"/>
      <w14:ligatures w14:val="none"/>
    </w:rPr>
  </w:style>
  <w:style w:type="paragraph" w:styleId="Revision">
    <w:name w:val="Revision"/>
    <w:hidden/>
    <w:uiPriority w:val="99"/>
    <w:semiHidden/>
    <w:rsid w:val="00674E3D"/>
    <w:pPr>
      <w:spacing w:after="0" w:line="240" w:lineRule="auto"/>
    </w:pPr>
  </w:style>
  <w:style w:type="paragraph" w:customStyle="1" w:styleId="pf0">
    <w:name w:val="pf0"/>
    <w:basedOn w:val="Normal"/>
    <w:rsid w:val="00430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430879"/>
    <w:rPr>
      <w:rFonts w:ascii="Segoe UI" w:hAnsi="Segoe UI" w:cs="Segoe UI" w:hint="default"/>
      <w:sz w:val="18"/>
      <w:szCs w:val="18"/>
    </w:rPr>
  </w:style>
  <w:style w:type="character" w:styleId="LineNumber">
    <w:name w:val="line number"/>
    <w:basedOn w:val="DefaultParagraphFont"/>
    <w:uiPriority w:val="99"/>
    <w:semiHidden/>
    <w:unhideWhenUsed/>
    <w:rsid w:val="0006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711">
      <w:bodyDiv w:val="1"/>
      <w:marLeft w:val="0"/>
      <w:marRight w:val="0"/>
      <w:marTop w:val="0"/>
      <w:marBottom w:val="0"/>
      <w:divBdr>
        <w:top w:val="none" w:sz="0" w:space="0" w:color="auto"/>
        <w:left w:val="none" w:sz="0" w:space="0" w:color="auto"/>
        <w:bottom w:val="none" w:sz="0" w:space="0" w:color="auto"/>
        <w:right w:val="none" w:sz="0" w:space="0" w:color="auto"/>
      </w:divBdr>
    </w:div>
    <w:div w:id="124196956">
      <w:bodyDiv w:val="1"/>
      <w:marLeft w:val="0"/>
      <w:marRight w:val="0"/>
      <w:marTop w:val="0"/>
      <w:marBottom w:val="0"/>
      <w:divBdr>
        <w:top w:val="none" w:sz="0" w:space="0" w:color="auto"/>
        <w:left w:val="none" w:sz="0" w:space="0" w:color="auto"/>
        <w:bottom w:val="none" w:sz="0" w:space="0" w:color="auto"/>
        <w:right w:val="none" w:sz="0" w:space="0" w:color="auto"/>
      </w:divBdr>
    </w:div>
    <w:div w:id="272322790">
      <w:bodyDiv w:val="1"/>
      <w:marLeft w:val="0"/>
      <w:marRight w:val="0"/>
      <w:marTop w:val="0"/>
      <w:marBottom w:val="0"/>
      <w:divBdr>
        <w:top w:val="none" w:sz="0" w:space="0" w:color="auto"/>
        <w:left w:val="none" w:sz="0" w:space="0" w:color="auto"/>
        <w:bottom w:val="none" w:sz="0" w:space="0" w:color="auto"/>
        <w:right w:val="none" w:sz="0" w:space="0" w:color="auto"/>
      </w:divBdr>
    </w:div>
    <w:div w:id="399060363">
      <w:bodyDiv w:val="1"/>
      <w:marLeft w:val="0"/>
      <w:marRight w:val="0"/>
      <w:marTop w:val="0"/>
      <w:marBottom w:val="0"/>
      <w:divBdr>
        <w:top w:val="none" w:sz="0" w:space="0" w:color="auto"/>
        <w:left w:val="none" w:sz="0" w:space="0" w:color="auto"/>
        <w:bottom w:val="none" w:sz="0" w:space="0" w:color="auto"/>
        <w:right w:val="none" w:sz="0" w:space="0" w:color="auto"/>
      </w:divBdr>
    </w:div>
    <w:div w:id="400449254">
      <w:bodyDiv w:val="1"/>
      <w:marLeft w:val="0"/>
      <w:marRight w:val="0"/>
      <w:marTop w:val="0"/>
      <w:marBottom w:val="0"/>
      <w:divBdr>
        <w:top w:val="none" w:sz="0" w:space="0" w:color="auto"/>
        <w:left w:val="none" w:sz="0" w:space="0" w:color="auto"/>
        <w:bottom w:val="none" w:sz="0" w:space="0" w:color="auto"/>
        <w:right w:val="none" w:sz="0" w:space="0" w:color="auto"/>
      </w:divBdr>
    </w:div>
    <w:div w:id="433012961">
      <w:bodyDiv w:val="1"/>
      <w:marLeft w:val="0"/>
      <w:marRight w:val="0"/>
      <w:marTop w:val="0"/>
      <w:marBottom w:val="0"/>
      <w:divBdr>
        <w:top w:val="none" w:sz="0" w:space="0" w:color="auto"/>
        <w:left w:val="none" w:sz="0" w:space="0" w:color="auto"/>
        <w:bottom w:val="none" w:sz="0" w:space="0" w:color="auto"/>
        <w:right w:val="none" w:sz="0" w:space="0" w:color="auto"/>
      </w:divBdr>
    </w:div>
    <w:div w:id="434251252">
      <w:bodyDiv w:val="1"/>
      <w:marLeft w:val="0"/>
      <w:marRight w:val="0"/>
      <w:marTop w:val="0"/>
      <w:marBottom w:val="0"/>
      <w:divBdr>
        <w:top w:val="none" w:sz="0" w:space="0" w:color="auto"/>
        <w:left w:val="none" w:sz="0" w:space="0" w:color="auto"/>
        <w:bottom w:val="none" w:sz="0" w:space="0" w:color="auto"/>
        <w:right w:val="none" w:sz="0" w:space="0" w:color="auto"/>
      </w:divBdr>
    </w:div>
    <w:div w:id="490296055">
      <w:bodyDiv w:val="1"/>
      <w:marLeft w:val="0"/>
      <w:marRight w:val="0"/>
      <w:marTop w:val="0"/>
      <w:marBottom w:val="0"/>
      <w:divBdr>
        <w:top w:val="none" w:sz="0" w:space="0" w:color="auto"/>
        <w:left w:val="none" w:sz="0" w:space="0" w:color="auto"/>
        <w:bottom w:val="none" w:sz="0" w:space="0" w:color="auto"/>
        <w:right w:val="none" w:sz="0" w:space="0" w:color="auto"/>
      </w:divBdr>
    </w:div>
    <w:div w:id="509684488">
      <w:bodyDiv w:val="1"/>
      <w:marLeft w:val="0"/>
      <w:marRight w:val="0"/>
      <w:marTop w:val="0"/>
      <w:marBottom w:val="0"/>
      <w:divBdr>
        <w:top w:val="none" w:sz="0" w:space="0" w:color="auto"/>
        <w:left w:val="none" w:sz="0" w:space="0" w:color="auto"/>
        <w:bottom w:val="none" w:sz="0" w:space="0" w:color="auto"/>
        <w:right w:val="none" w:sz="0" w:space="0" w:color="auto"/>
      </w:divBdr>
    </w:div>
    <w:div w:id="585647301">
      <w:bodyDiv w:val="1"/>
      <w:marLeft w:val="0"/>
      <w:marRight w:val="0"/>
      <w:marTop w:val="0"/>
      <w:marBottom w:val="0"/>
      <w:divBdr>
        <w:top w:val="none" w:sz="0" w:space="0" w:color="auto"/>
        <w:left w:val="none" w:sz="0" w:space="0" w:color="auto"/>
        <w:bottom w:val="none" w:sz="0" w:space="0" w:color="auto"/>
        <w:right w:val="none" w:sz="0" w:space="0" w:color="auto"/>
      </w:divBdr>
    </w:div>
    <w:div w:id="606890747">
      <w:bodyDiv w:val="1"/>
      <w:marLeft w:val="0"/>
      <w:marRight w:val="0"/>
      <w:marTop w:val="0"/>
      <w:marBottom w:val="0"/>
      <w:divBdr>
        <w:top w:val="none" w:sz="0" w:space="0" w:color="auto"/>
        <w:left w:val="none" w:sz="0" w:space="0" w:color="auto"/>
        <w:bottom w:val="none" w:sz="0" w:space="0" w:color="auto"/>
        <w:right w:val="none" w:sz="0" w:space="0" w:color="auto"/>
      </w:divBdr>
    </w:div>
    <w:div w:id="715084476">
      <w:bodyDiv w:val="1"/>
      <w:marLeft w:val="0"/>
      <w:marRight w:val="0"/>
      <w:marTop w:val="0"/>
      <w:marBottom w:val="0"/>
      <w:divBdr>
        <w:top w:val="none" w:sz="0" w:space="0" w:color="auto"/>
        <w:left w:val="none" w:sz="0" w:space="0" w:color="auto"/>
        <w:bottom w:val="none" w:sz="0" w:space="0" w:color="auto"/>
        <w:right w:val="none" w:sz="0" w:space="0" w:color="auto"/>
      </w:divBdr>
    </w:div>
    <w:div w:id="762992216">
      <w:bodyDiv w:val="1"/>
      <w:marLeft w:val="0"/>
      <w:marRight w:val="0"/>
      <w:marTop w:val="0"/>
      <w:marBottom w:val="0"/>
      <w:divBdr>
        <w:top w:val="none" w:sz="0" w:space="0" w:color="auto"/>
        <w:left w:val="none" w:sz="0" w:space="0" w:color="auto"/>
        <w:bottom w:val="none" w:sz="0" w:space="0" w:color="auto"/>
        <w:right w:val="none" w:sz="0" w:space="0" w:color="auto"/>
      </w:divBdr>
    </w:div>
    <w:div w:id="772018593">
      <w:bodyDiv w:val="1"/>
      <w:marLeft w:val="0"/>
      <w:marRight w:val="0"/>
      <w:marTop w:val="0"/>
      <w:marBottom w:val="0"/>
      <w:divBdr>
        <w:top w:val="none" w:sz="0" w:space="0" w:color="auto"/>
        <w:left w:val="none" w:sz="0" w:space="0" w:color="auto"/>
        <w:bottom w:val="none" w:sz="0" w:space="0" w:color="auto"/>
        <w:right w:val="none" w:sz="0" w:space="0" w:color="auto"/>
      </w:divBdr>
    </w:div>
    <w:div w:id="778599991">
      <w:bodyDiv w:val="1"/>
      <w:marLeft w:val="0"/>
      <w:marRight w:val="0"/>
      <w:marTop w:val="0"/>
      <w:marBottom w:val="0"/>
      <w:divBdr>
        <w:top w:val="none" w:sz="0" w:space="0" w:color="auto"/>
        <w:left w:val="none" w:sz="0" w:space="0" w:color="auto"/>
        <w:bottom w:val="none" w:sz="0" w:space="0" w:color="auto"/>
        <w:right w:val="none" w:sz="0" w:space="0" w:color="auto"/>
      </w:divBdr>
    </w:div>
    <w:div w:id="1085220938">
      <w:bodyDiv w:val="1"/>
      <w:marLeft w:val="0"/>
      <w:marRight w:val="0"/>
      <w:marTop w:val="0"/>
      <w:marBottom w:val="0"/>
      <w:divBdr>
        <w:top w:val="none" w:sz="0" w:space="0" w:color="auto"/>
        <w:left w:val="none" w:sz="0" w:space="0" w:color="auto"/>
        <w:bottom w:val="none" w:sz="0" w:space="0" w:color="auto"/>
        <w:right w:val="none" w:sz="0" w:space="0" w:color="auto"/>
      </w:divBdr>
    </w:div>
    <w:div w:id="1109472464">
      <w:bodyDiv w:val="1"/>
      <w:marLeft w:val="0"/>
      <w:marRight w:val="0"/>
      <w:marTop w:val="0"/>
      <w:marBottom w:val="0"/>
      <w:divBdr>
        <w:top w:val="none" w:sz="0" w:space="0" w:color="auto"/>
        <w:left w:val="none" w:sz="0" w:space="0" w:color="auto"/>
        <w:bottom w:val="none" w:sz="0" w:space="0" w:color="auto"/>
        <w:right w:val="none" w:sz="0" w:space="0" w:color="auto"/>
      </w:divBdr>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
    <w:div w:id="1280987017">
      <w:bodyDiv w:val="1"/>
      <w:marLeft w:val="0"/>
      <w:marRight w:val="0"/>
      <w:marTop w:val="0"/>
      <w:marBottom w:val="0"/>
      <w:divBdr>
        <w:top w:val="none" w:sz="0" w:space="0" w:color="auto"/>
        <w:left w:val="none" w:sz="0" w:space="0" w:color="auto"/>
        <w:bottom w:val="none" w:sz="0" w:space="0" w:color="auto"/>
        <w:right w:val="none" w:sz="0" w:space="0" w:color="auto"/>
      </w:divBdr>
    </w:div>
    <w:div w:id="1356080823">
      <w:bodyDiv w:val="1"/>
      <w:marLeft w:val="0"/>
      <w:marRight w:val="0"/>
      <w:marTop w:val="0"/>
      <w:marBottom w:val="0"/>
      <w:divBdr>
        <w:top w:val="none" w:sz="0" w:space="0" w:color="auto"/>
        <w:left w:val="none" w:sz="0" w:space="0" w:color="auto"/>
        <w:bottom w:val="none" w:sz="0" w:space="0" w:color="auto"/>
        <w:right w:val="none" w:sz="0" w:space="0" w:color="auto"/>
      </w:divBdr>
    </w:div>
    <w:div w:id="1413119491">
      <w:bodyDiv w:val="1"/>
      <w:marLeft w:val="0"/>
      <w:marRight w:val="0"/>
      <w:marTop w:val="0"/>
      <w:marBottom w:val="0"/>
      <w:divBdr>
        <w:top w:val="none" w:sz="0" w:space="0" w:color="auto"/>
        <w:left w:val="none" w:sz="0" w:space="0" w:color="auto"/>
        <w:bottom w:val="none" w:sz="0" w:space="0" w:color="auto"/>
        <w:right w:val="none" w:sz="0" w:space="0" w:color="auto"/>
      </w:divBdr>
    </w:div>
    <w:div w:id="1505783171">
      <w:bodyDiv w:val="1"/>
      <w:marLeft w:val="0"/>
      <w:marRight w:val="0"/>
      <w:marTop w:val="0"/>
      <w:marBottom w:val="0"/>
      <w:divBdr>
        <w:top w:val="none" w:sz="0" w:space="0" w:color="auto"/>
        <w:left w:val="none" w:sz="0" w:space="0" w:color="auto"/>
        <w:bottom w:val="none" w:sz="0" w:space="0" w:color="auto"/>
        <w:right w:val="none" w:sz="0" w:space="0" w:color="auto"/>
      </w:divBdr>
    </w:div>
    <w:div w:id="1511093573">
      <w:bodyDiv w:val="1"/>
      <w:marLeft w:val="0"/>
      <w:marRight w:val="0"/>
      <w:marTop w:val="0"/>
      <w:marBottom w:val="0"/>
      <w:divBdr>
        <w:top w:val="none" w:sz="0" w:space="0" w:color="auto"/>
        <w:left w:val="none" w:sz="0" w:space="0" w:color="auto"/>
        <w:bottom w:val="none" w:sz="0" w:space="0" w:color="auto"/>
        <w:right w:val="none" w:sz="0" w:space="0" w:color="auto"/>
      </w:divBdr>
    </w:div>
    <w:div w:id="1584341787">
      <w:bodyDiv w:val="1"/>
      <w:marLeft w:val="0"/>
      <w:marRight w:val="0"/>
      <w:marTop w:val="0"/>
      <w:marBottom w:val="0"/>
      <w:divBdr>
        <w:top w:val="none" w:sz="0" w:space="0" w:color="auto"/>
        <w:left w:val="none" w:sz="0" w:space="0" w:color="auto"/>
        <w:bottom w:val="none" w:sz="0" w:space="0" w:color="auto"/>
        <w:right w:val="none" w:sz="0" w:space="0" w:color="auto"/>
      </w:divBdr>
    </w:div>
    <w:div w:id="1646200364">
      <w:bodyDiv w:val="1"/>
      <w:marLeft w:val="0"/>
      <w:marRight w:val="0"/>
      <w:marTop w:val="0"/>
      <w:marBottom w:val="0"/>
      <w:divBdr>
        <w:top w:val="none" w:sz="0" w:space="0" w:color="auto"/>
        <w:left w:val="none" w:sz="0" w:space="0" w:color="auto"/>
        <w:bottom w:val="none" w:sz="0" w:space="0" w:color="auto"/>
        <w:right w:val="none" w:sz="0" w:space="0" w:color="auto"/>
      </w:divBdr>
    </w:div>
    <w:div w:id="1655795176">
      <w:bodyDiv w:val="1"/>
      <w:marLeft w:val="0"/>
      <w:marRight w:val="0"/>
      <w:marTop w:val="0"/>
      <w:marBottom w:val="0"/>
      <w:divBdr>
        <w:top w:val="none" w:sz="0" w:space="0" w:color="auto"/>
        <w:left w:val="none" w:sz="0" w:space="0" w:color="auto"/>
        <w:bottom w:val="none" w:sz="0" w:space="0" w:color="auto"/>
        <w:right w:val="none" w:sz="0" w:space="0" w:color="auto"/>
      </w:divBdr>
    </w:div>
    <w:div w:id="1711344385">
      <w:bodyDiv w:val="1"/>
      <w:marLeft w:val="0"/>
      <w:marRight w:val="0"/>
      <w:marTop w:val="0"/>
      <w:marBottom w:val="0"/>
      <w:divBdr>
        <w:top w:val="none" w:sz="0" w:space="0" w:color="auto"/>
        <w:left w:val="none" w:sz="0" w:space="0" w:color="auto"/>
        <w:bottom w:val="none" w:sz="0" w:space="0" w:color="auto"/>
        <w:right w:val="none" w:sz="0" w:space="0" w:color="auto"/>
      </w:divBdr>
    </w:div>
    <w:div w:id="1788163529">
      <w:bodyDiv w:val="1"/>
      <w:marLeft w:val="0"/>
      <w:marRight w:val="0"/>
      <w:marTop w:val="0"/>
      <w:marBottom w:val="0"/>
      <w:divBdr>
        <w:top w:val="none" w:sz="0" w:space="0" w:color="auto"/>
        <w:left w:val="none" w:sz="0" w:space="0" w:color="auto"/>
        <w:bottom w:val="none" w:sz="0" w:space="0" w:color="auto"/>
        <w:right w:val="none" w:sz="0" w:space="0" w:color="auto"/>
      </w:divBdr>
    </w:div>
    <w:div w:id="1825508074">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950156763">
      <w:bodyDiv w:val="1"/>
      <w:marLeft w:val="0"/>
      <w:marRight w:val="0"/>
      <w:marTop w:val="0"/>
      <w:marBottom w:val="0"/>
      <w:divBdr>
        <w:top w:val="none" w:sz="0" w:space="0" w:color="auto"/>
        <w:left w:val="none" w:sz="0" w:space="0" w:color="auto"/>
        <w:bottom w:val="none" w:sz="0" w:space="0" w:color="auto"/>
        <w:right w:val="none" w:sz="0" w:space="0" w:color="auto"/>
      </w:divBdr>
    </w:div>
    <w:div w:id="1980307353">
      <w:bodyDiv w:val="1"/>
      <w:marLeft w:val="0"/>
      <w:marRight w:val="0"/>
      <w:marTop w:val="0"/>
      <w:marBottom w:val="0"/>
      <w:divBdr>
        <w:top w:val="none" w:sz="0" w:space="0" w:color="auto"/>
        <w:left w:val="none" w:sz="0" w:space="0" w:color="auto"/>
        <w:bottom w:val="none" w:sz="0" w:space="0" w:color="auto"/>
        <w:right w:val="none" w:sz="0" w:space="0" w:color="auto"/>
      </w:divBdr>
    </w:div>
    <w:div w:id="1990861851">
      <w:bodyDiv w:val="1"/>
      <w:marLeft w:val="0"/>
      <w:marRight w:val="0"/>
      <w:marTop w:val="0"/>
      <w:marBottom w:val="0"/>
      <w:divBdr>
        <w:top w:val="none" w:sz="0" w:space="0" w:color="auto"/>
        <w:left w:val="none" w:sz="0" w:space="0" w:color="auto"/>
        <w:bottom w:val="none" w:sz="0" w:space="0" w:color="auto"/>
        <w:right w:val="none" w:sz="0" w:space="0" w:color="auto"/>
      </w:divBdr>
    </w:div>
    <w:div w:id="201853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iddk.nih.gov/health-information/health-statistics/overweight-obes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sterstudy.niehs.nih.gov/English/images/docs/Sec%20AL_Alcohol_v2.08_acc.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sterstudy.niehs.nih.gov/English/response-rates.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seer.cancer.gov/statistics-network/explorer/" TargetMode="External"/><Relationship Id="rId4" Type="http://schemas.openxmlformats.org/officeDocument/2006/relationships/customXml" Target="../customXml/item4.xml"/><Relationship Id="rId9" Type="http://schemas.openxmlformats.org/officeDocument/2006/relationships/hyperlink" Target="https://gco.iarc.fr/tod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43eaa0-9987-4e60-a7c2-a74f93af9f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1B2BB8A1CECD4F98C756C3AB6C0D1C" ma:contentTypeVersion="15" ma:contentTypeDescription="Create a new document." ma:contentTypeScope="" ma:versionID="a8b44f2ef8abdf5a2e38fb7206b473da">
  <xsd:schema xmlns:xsd="http://www.w3.org/2001/XMLSchema" xmlns:xs="http://www.w3.org/2001/XMLSchema" xmlns:p="http://schemas.microsoft.com/office/2006/metadata/properties" xmlns:ns3="2943eaa0-9987-4e60-a7c2-a74f93af9f0d" xmlns:ns4="67bf20d3-3f62-4583-a0e5-bc2a5342cc63" targetNamespace="http://schemas.microsoft.com/office/2006/metadata/properties" ma:root="true" ma:fieldsID="57921d5c603b4852a63ca46acefde369" ns3:_="" ns4:_="">
    <xsd:import namespace="2943eaa0-9987-4e60-a7c2-a74f93af9f0d"/>
    <xsd:import namespace="67bf20d3-3f62-4583-a0e5-bc2a5342cc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eaa0-9987-4e60-a7c2-a74f93af9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bf20d3-3f62-4583-a0e5-bc2a5342cc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2DAA8-B21E-4C04-B4DC-66824140A318}">
  <ds:schemaRefs>
    <ds:schemaRef ds:uri="2943eaa0-9987-4e60-a7c2-a74f93af9f0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7bf20d3-3f62-4583-a0e5-bc2a5342cc63"/>
    <ds:schemaRef ds:uri="http://www.w3.org/XML/1998/namespace"/>
    <ds:schemaRef ds:uri="http://purl.org/dc/dcmitype/"/>
  </ds:schemaRefs>
</ds:datastoreItem>
</file>

<file path=customXml/itemProps2.xml><?xml version="1.0" encoding="utf-8"?>
<ds:datastoreItem xmlns:ds="http://schemas.openxmlformats.org/officeDocument/2006/customXml" ds:itemID="{BDAB70AA-B272-4F89-A794-E3EA6E713FCE}">
  <ds:schemaRefs>
    <ds:schemaRef ds:uri="http://schemas.microsoft.com/sharepoint/v3/contenttype/forms"/>
  </ds:schemaRefs>
</ds:datastoreItem>
</file>

<file path=customXml/itemProps3.xml><?xml version="1.0" encoding="utf-8"?>
<ds:datastoreItem xmlns:ds="http://schemas.openxmlformats.org/officeDocument/2006/customXml" ds:itemID="{14F0A721-8BC5-4DFA-AF4F-77D437D37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eaa0-9987-4e60-a7c2-a74f93af9f0d"/>
    <ds:schemaRef ds:uri="67bf20d3-3f62-4583-a0e5-bc2a5342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C8E1C3-EDAB-45BE-9454-D425F1AA9E5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8719</Words>
  <Characters>49702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3</cp:revision>
  <cp:lastPrinted>2024-09-16T15:14:00Z</cp:lastPrinted>
  <dcterms:created xsi:type="dcterms:W3CDTF">2024-09-19T14:48:00Z</dcterms:created>
  <dcterms:modified xsi:type="dcterms:W3CDTF">2024-09-19T14:48:00Z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0x0101002B1B2BB8A1CECD4F98C756C3AB6C0D1C</vt:lpwstr>
  </property>
</Properties>
</file>