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Brightwater Robotics Inc., a Delaware corporation whose principal office is at 200 Harbor Drive, Boston, Massachusetts ("Brightwater").</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shall protect the Discloser's Confidential Information using at least the same degree of care it uses to protect its own confidential information, and in any event no less than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three (3)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such consent not to be unreasonably withheld,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the law of England and Wales.</w:t>
      </w:r>
    </w:p>
    <w:p>
      <w:pPr>
        <w:spacing w:after="120"/>
        <w:jc w:val="both"/>
      </w:pPr>
      <w:r>
        <w:rPr>
          <w:b/>
          <w:bCs/>
        </w:rPr>
        <w:t xml:space="preserve">5.9 </w:t>
      </w:r>
      <w:r>
        <w:t xml:space="preserve">The courts of England and Wales shall have exclusive jurisdiction to settle any dispute or claim arising out of or in connection with this Agreement.</w:t>
      </w:r>
    </w:p>
    <w:p>
      <w:pPr>
        <w:spacing w:after="120"/>
        <w:jc w:val="both"/>
      </w:pPr>
      <w:r>
        <w:t xml:space="preserve">Signed for and on behalf of PortSwigger Ltd by [Authorised Signatory], Director. Signed for and on behalf of Brightwater Robotics Inc. by Dana Whitfield, General Counsel.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PortSwigger Legal</dc:creator>
  <cp:lastModifiedBy>Un-named</cp:lastModifiedBy>
  <cp:revision>1</cp:revision>
  <dcterms:created xsi:type="dcterms:W3CDTF">2026-10-18T23:29:42.134Z</dcterms:created>
  <dcterms:modified xsi:type="dcterms:W3CDTF">2026-10-18T23:29:42.134Z</dcterms:modified>
</cp:coreProperties>
</file>

<file path=docProps/custom.xml><?xml version="1.0" encoding="utf-8"?>
<Properties xmlns="http://schemas.openxmlformats.org/officeDocument/2006/custom-properties" xmlns:vt="http://schemas.openxmlformats.org/officeDocument/2006/docPropsVTypes"/>
</file>