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courts of England and Wales shall have exclusive jurisdiction to settle any dispute or claim arising out of or in connection with this Agreement.</w:t>
      </w:r>
    </w:p>
    <w:p>
      <w:pPr>
        <w:spacing w:after="120"/>
      </w:pPr>
      <w:r>
        <w:rPr>
          <w:b/>
          <w:bCs/>
        </w:rPr>
        <w:t xml:space="preserve">6.10 </w:t>
      </w:r>
      <w:r>
        <w:t xml:space="preserve">Acme may announce that it is evaluating PortSwigger as a prospective supplier and may refer to PortSwigger by name in its investor materials and customer communications without further consent.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2026-10-17T10:16:52.053Z</dcterms:created>
  <dcterms:modified xsi:type="dcterms:W3CDTF">2026-10-17T10:16:52.053Z</dcterms:modified>
</cp:coreProperties>
</file>

<file path=docProps/custom.xml><?xml version="1.0" encoding="utf-8"?>
<Properties xmlns="http://schemas.openxmlformats.org/officeDocument/2006/custom-properties" xmlns:vt="http://schemas.openxmlformats.org/officeDocument/2006/docPropsVTypes"/>
</file>