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Brightwater Robotics Inc., a Delaware corporation whose principal office is at 200 Harbor Drive, Boston, Massachusetts ("Brightwater").</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ins w:id="100" w:author="Brightwater Legal" w:date="2026-10-12T14:30:00Z">
        <w:r>
          <w:rPr>
            <w:b w:val="false"/>
            <w:bCs w:val="false"/>
          </w:rPr>
          <w:t xml:space="preserve">Information shall not be </w:t>
        </w:r>
      </w:ins>
      <w:r>
        <w:t xml:space="preserve">Confidential Information </w:t>
      </w:r>
      <w:del w:id="101" w:author="Brightwater Legal" w:date="2026-10-12T14:30:00Z">
        <w:r>
          <w:rPr>
            <w:b w:val="false"/>
            <w:bCs w:val="false"/>
          </w:rPr>
          <w:delText xml:space="preserve">does not include information that:</w:delText>
        </w:r>
      </w:del>
      <w:ins w:id="102" w:author="Brightwater Legal" w:date="2026-10-12T14:30:00Z">
        <w:r>
          <w:rPr>
            <w:b w:val="false"/>
            <w:bCs w:val="false"/>
          </w:rPr>
          <w:t xml:space="preserve">if it:</w:t>
        </w:r>
      </w:ins>
      <w:r>
        <w:t xml:space="preserve"> (a) is or becomes </w:t>
      </w:r>
      <w:del w:id="103" w:author="Brightwater Legal" w:date="2026-10-12T14:30:00Z">
        <w:r>
          <w:rPr>
            <w:b w:val="false"/>
            <w:bCs w:val="false"/>
          </w:rPr>
          <w:delText xml:space="preserve">publicly available </w:delText>
        </w:r>
      </w:del>
      <w:ins w:id="104" w:author="Brightwater Legal" w:date="2026-10-12T14:30:00Z">
        <w:r>
          <w:rPr>
            <w:b w:val="false"/>
            <w:bCs w:val="false"/>
          </w:rPr>
          <w:t xml:space="preserve">public </w:t>
        </w:r>
      </w:ins>
      <w:r>
        <w:t xml:space="preserve">other than </w:t>
      </w:r>
      <w:del w:id="105" w:author="Brightwater Legal" w:date="2026-10-12T14:30:00Z">
        <w:r>
          <w:rPr>
            <w:b w:val="false"/>
            <w:bCs w:val="false"/>
          </w:rPr>
          <w:delText xml:space="preserve">through </w:delText>
        </w:r>
      </w:del>
      <w:ins w:id="106" w:author="Brightwater Legal" w:date="2026-10-12T14:30:00Z">
        <w:r>
          <w:rPr>
            <w:b w:val="false"/>
            <w:bCs w:val="false"/>
          </w:rPr>
          <w:t xml:space="preserve">as a result of </w:t>
        </w:r>
      </w:ins>
      <w:r>
        <w:t xml:space="preserve">a breach of this Agreement; (b) was </w:t>
      </w:r>
      <w:ins w:id="107" w:author="Brightwater Legal" w:date="2026-10-12T14:30:00Z">
        <w:r>
          <w:rPr>
            <w:b w:val="false"/>
            <w:bCs w:val="false"/>
          </w:rPr>
          <w:t xml:space="preserve">already </w:t>
        </w:r>
      </w:ins>
      <w:r>
        <w:t xml:space="preserve">lawfully </w:t>
      </w:r>
      <w:del w:id="108" w:author="Brightwater Legal" w:date="2026-10-12T14:30:00Z">
        <w:r>
          <w:rPr>
            <w:b w:val="false"/>
            <w:bCs w:val="false"/>
          </w:rPr>
          <w:delText xml:space="preserve">in </w:delText>
        </w:r>
      </w:del>
      <w:ins w:id="109" w:author="Brightwater Legal" w:date="2026-10-12T14:30:00Z">
        <w:r>
          <w:rPr>
            <w:b w:val="false"/>
            <w:bCs w:val="false"/>
          </w:rPr>
          <w:t xml:space="preserve">held by </w:t>
        </w:r>
      </w:ins>
      <w:r>
        <w:t xml:space="preserve">the </w:t>
      </w:r>
      <w:del w:id="110" w:author="Brightwater Legal" w:date="2026-10-12T14:30:00Z">
        <w:r>
          <w:rPr>
            <w:b w:val="false"/>
            <w:bCs w:val="false"/>
          </w:rPr>
          <w:delText xml:space="preserve">Recipient's possession before </w:delText>
        </w:r>
      </w:del>
      <w:ins w:id="111" w:author="Brightwater Legal" w:date="2026-10-12T14:30:00Z">
        <w:r>
          <w:rPr>
            <w:b w:val="false"/>
            <w:bCs w:val="false"/>
          </w:rPr>
          <w:t xml:space="preserve">Recipient prior to </w:t>
        </w:r>
      </w:ins>
      <w:r>
        <w:t xml:space="preserve">disclosure; (c) is lawfully </w:t>
      </w:r>
      <w:del w:id="112" w:author="Brightwater Legal" w:date="2026-10-12T14:30:00Z">
        <w:r>
          <w:rPr>
            <w:b w:val="false"/>
            <w:bCs w:val="false"/>
          </w:rPr>
          <w:delText xml:space="preserve">received</w:delText>
        </w:r>
      </w:del>
      <w:ins w:id="113" w:author="Brightwater Legal" w:date="2026-10-12T14:30:00Z">
        <w:r>
          <w:rPr>
            <w:b w:val="false"/>
            <w:bCs w:val="false"/>
          </w:rPr>
          <w:t xml:space="preserve">obtained</w:t>
        </w:r>
      </w:ins>
      <w:r>
        <w:t xml:space="preserve"> from a third party </w:t>
      </w:r>
      <w:del w:id="114" w:author="Brightwater Legal" w:date="2026-10-12T14:30:00Z">
        <w:r>
          <w:rPr>
            <w:b w:val="false"/>
            <w:bCs w:val="false"/>
          </w:rPr>
          <w:delText xml:space="preserve">without restriction;</w:delText>
        </w:r>
      </w:del>
      <w:ins w:id="115" w:author="Brightwater Legal" w:date="2026-10-12T14:30:00Z">
        <w:r>
          <w:rPr>
            <w:b w:val="false"/>
            <w:bCs w:val="false"/>
          </w:rPr>
          <w:t xml:space="preserve">who is free to disclose it;</w:t>
        </w:r>
      </w:ins>
      <w:r>
        <w:t xml:space="preserve"> or (d) is </w:t>
      </w:r>
      <w:ins w:id="116" w:author="Brightwater Legal" w:date="2026-10-12T14:30:00Z">
        <w:r>
          <w:rPr>
            <w:b w:val="false"/>
            <w:bCs w:val="false"/>
          </w:rPr>
          <w:t xml:space="preserve">developed </w:t>
        </w:r>
      </w:ins>
      <w:r>
        <w:t xml:space="preserve">independently </w:t>
      </w:r>
      <w:del w:id="117" w:author="Brightwater Legal" w:date="2026-10-12T14:30:00Z">
        <w:r>
          <w:rPr>
            <w:b w:val="false"/>
            <w:bCs w:val="false"/>
          </w:rPr>
          <w:delText xml:space="preserve">developed </w:delText>
        </w:r>
      </w:del>
      <w:r>
        <w:t xml:space="preserve">by the Recipient without </w:t>
      </w:r>
      <w:del w:id="118" w:author="Brightwater Legal" w:date="2026-10-12T14:30:00Z">
        <w:r>
          <w:rPr>
            <w:b w:val="false"/>
            <w:bCs w:val="false"/>
          </w:rPr>
          <w:delText xml:space="preserve">use of </w:delText>
        </w:r>
      </w:del>
      <w:ins w:id="119" w:author="Brightwater Legal" w:date="2026-10-12T14:30:00Z">
        <w:r>
          <w:rPr>
            <w:b w:val="false"/>
            <w:bCs w:val="false"/>
          </w:rPr>
          <w:t xml:space="preserve">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20" w:author="Brightwater Legal" w:date="2026-10-12T14:30:00Z">
        <w:r>
          <w:rPr>
            <w:b w:val="false"/>
            <w:bCs w:val="false"/>
          </w:rPr>
          <w:t xml:space="preserve">and its Affiliates'</w:t>
        </w:r>
      </w:ins>
      <w:commentRangeEnd w:id="1"/>
      <w:ins w:id="121" w:author="Brightwater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22" w:author="Brightwater Legal" w:date="2026-10-12T14:30:00Z">
        <w:r>
          <w:rPr>
            <w:b/>
            <w:bCs/>
          </w:rPr>
          <w:t xml:space="preserve">2.4 </w:t>
        </w:r>
      </w:ins>
      <w:ins w:id="123" w:author="Brightwater Legal" w:date="2026-10-12T14:30:00Z">
        <w:r>
          <w:rPr>
            <w:b w:val="false"/>
            <w:bCs w:val="false"/>
          </w:rPr>
          <w:t xml:space="preserve">Notwithstanding clause 2.1, either party shall be </w:t>
        </w:r>
      </w:ins>
      <w:commentRangeStart w:id="2"/>
      <w:ins w:id="124" w:author="Brightwater Legal" w:date="2026-10-12T14:30:00Z">
        <w:r>
          <w:rPr>
            <w:b w:val="false"/>
            <w:bCs w:val="false"/>
          </w:rPr>
          <w:t xml:space="preserve">free to use for any purpose the Residuals</w:t>
        </w:r>
      </w:ins>
      <w:commentRangeEnd w:id="2"/>
      <w:ins w:id="125" w:author="Brightwater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26" w:author="Brightwater Legal" w:date="2026-10-12T14:30:00Z">
        <w:r>
          <w:rPr>
            <w:b/>
            <w:bCs/>
          </w:rPr>
          <w:delText xml:space="preserve">3.3 </w:delText>
        </w:r>
      </w:del>
      <w:del w:id="127" w:author="Brightwater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28" w:author="Brightwater Legal" w:date="2026-10-12T14:30:00Z">
        <w:r>
          <w:rPr>
            <w:b w:val="false"/>
            <w:bCs w:val="false"/>
          </w:rPr>
          <w:delText xml:space="preserve">three (3)</w:delText>
        </w:r>
      </w:del>
      <w:commentRangeStart w:id="3"/>
      <w:ins w:id="129" w:author="Brightwater Legal" w:date="2026-10-12T14:30:00Z">
        <w:r>
          <w:rPr>
            <w:b w:val="false"/>
            <w:bCs w:val="false"/>
          </w:rPr>
          <w:t xml:space="preserve">five (5)</w:t>
        </w:r>
      </w:ins>
      <w:r>
        <w:t xml:space="preserve"> 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30" w:author="Brightwater Legal" w:date="2026-10-12T14:30:00Z">
        <w:r>
          <w:rPr>
            <w:b w:val="false"/>
            <w:bCs w:val="false"/>
          </w:rPr>
          <w:delText xml:space="preserve">law </w:delText>
        </w:r>
      </w:del>
      <w:ins w:id="131" w:author="Brightwater Legal" w:date="2026-10-12T14:30:00Z">
        <w:r>
          <w:rPr>
            <w:b w:val="false"/>
            <w:bCs w:val="false"/>
          </w:rPr>
          <w:t xml:space="preserve">laws of the State </w:t>
        </w:r>
      </w:ins>
      <w:r>
        <w:t xml:space="preserve">of </w:t>
      </w:r>
      <w:del w:id="132" w:author="Brightwater Legal" w:date="2026-10-12T14:30:00Z">
        <w:r>
          <w:rPr>
            <w:b w:val="false"/>
            <w:bCs w:val="false"/>
          </w:rPr>
          <w:delText xml:space="preserve">England and Wales.</w:delText>
        </w:r>
      </w:del>
      <w:ins w:id="133" w:author="Brightwater Legal" w:date="2026-10-12T14:30:00Z">
        <w:r>
          <w:rPr>
            <w:b w:val="false"/>
            <w:bCs w:val="false"/>
          </w:rPr>
          <w:t xml:space="preserve">New York</w:t>
        </w:r>
      </w:ins>
      <w:commentRangeEnd w:id="4"/>
      <w:ins w:id="134" w:author="Brightwater Legal" w:date="2026-10-12T14:30:00Z">
        <w:r>
          <w:rPr>
            <w:b w:val="false"/>
            <w:bCs w:val="false"/>
          </w:rPr>
          <w:t xml:space="preserve">.</w:t>
        </w:r>
      </w:ins>
      <w:r>
        <w:commentReference w:id="4"/>
      </w:r>
    </w:p>
    <w:p>
      <w:pPr>
        <w:spacing w:after="120"/>
        <w:jc w:val="both"/>
      </w:pPr>
      <w:r>
        <w:rPr>
          <w:b/>
          <w:bCs/>
        </w:rPr>
        <w:t xml:space="preserve">5.9 </w:t>
      </w:r>
      <w:r>
        <w:t xml:space="preserve">The </w:t>
      </w:r>
      <w:ins w:id="135" w:author="Brightwater Legal" w:date="2026-10-12T14:30:00Z">
        <w:r>
          <w:rPr>
            <w:b w:val="false"/>
            <w:bCs w:val="false"/>
          </w:rPr>
          <w:t xml:space="preserve">state and federal </w:t>
        </w:r>
      </w:ins>
      <w:r>
        <w:t xml:space="preserve">courts </w:t>
      </w:r>
      <w:del w:id="136" w:author="Brightwater Legal" w:date="2026-10-12T14:30:00Z">
        <w:r>
          <w:rPr>
            <w:b w:val="false"/>
            <w:bCs w:val="false"/>
          </w:rPr>
          <w:delText xml:space="preserve">of England and Wales </w:delText>
        </w:r>
      </w:del>
      <w:ins w:id="137" w:author="Brightwater Legal" w:date="2026-10-12T14:30:00Z">
        <w:r>
          <w:rPr>
            <w:b w:val="false"/>
            <w:bCs w:val="false"/>
          </w:rPr>
          <w:t xml:space="preserve">located in New York County, New York </w:t>
        </w:r>
      </w:ins>
      <w:r>
        <w:t xml:space="preserve">shall have exclusive jurisdiction to settle any dispute or claim arising out of or in connection with this Agreement.</w:t>
      </w:r>
    </w:p>
    <w:p>
      <w:pPr>
        <w:spacing w:after="120"/>
        <w:jc w:val="both"/>
      </w:pPr>
      <w:ins w:id="138" w:author="Brightwater Legal" w:date="2026-10-12T14:30:00Z">
        <w:r>
          <w:rPr>
            <w:b/>
            <w:bCs/>
          </w:rPr>
          <w:t xml:space="preserve">5.10 </w:t>
        </w:r>
      </w:ins>
      <w:ins w:id="139" w:author="Brightwater Legal" w:date="2026-10-12T14:30:00Z">
        <w:r>
          <w:rPr>
            <w:b w:val="false"/>
            <w:bCs w:val="false"/>
          </w:rPr>
          <w:t xml:space="preserve">Non-solicitation. During the term of this Agreement and for twenty-four (24) months after it ends, Example shall not directly or indirectly solicit, employ or engage any employee of Brightwater with whom it has had contact in connection with the Purpose.</w:t>
        </w:r>
      </w:ins>
    </w:p>
    <w:p>
      <w:pPr>
        <w:spacing w:after="120"/>
        <w:jc w:val="both"/>
      </w:pPr>
      <w:r>
        <w:t xml:space="preserve">Signed for and on behalf of Example Ltd by [Authorised Signatory], Director. Signed for and on behalf of Brightwater Robotics Inc. by Dana Whitfield,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Brightwater Legal" w:date="2026-10-12T14:30:00.000Z">
    <w:p>
      <w:r>
        <w:t xml:space="preserve">Tidied the drafting; no change in substance intended.</w:t>
      </w:r>
    </w:p>
  </w:comment>
  <w:comment w:id="1" w:author="Brightwater Legal" w:date="2026-10-12T14:30:00.000Z">
    <w:p>
      <w:r>
        <w:t xml:space="preserve">Our engineering team sits in a subsidiary, so Affiliates need access.</w:t>
      </w:r>
    </w:p>
  </w:comment>
  <w:comment w:id="2" w:author="Brightwater Legal" w:date="2026-10-12T14:30:00.000Z">
    <w:p>
      <w:r>
        <w:t xml:space="preserve">Standard in all Brightwater NDAs: our engineers cannot unlearn what they have seen.</w:t>
      </w:r>
    </w:p>
  </w:comment>
  <w:comment w:id="3" w:author="Brightwater Legal" w:date="2026-10-12T14:30:00.000Z">
    <w:p>
      <w:r>
        <w:t xml:space="preserve">Our board requires a five-year term for all supplier NDAs.</w:t>
      </w:r>
    </w:p>
  </w:comment>
  <w:comment w:id="4" w:author="Brightwater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Brightwater Legal</dc:creator>
  <cp:lastModifiedBy>Un-named</cp:lastModifiedBy>
  <cp:revision>1</cp:revision>
  <dcterms:created xsi:type="dcterms:W3CDTF">2026-10-17T18:04:37.518Z</dcterms:created>
  <dcterms:modified xsi:type="dcterms:W3CDTF">2026-10-17T18:04:37.518Z</dcterms:modified>
</cp:coreProperties>
</file>

<file path=docProps/custom.xml><?xml version="1.0" encoding="utf-8"?>
<Properties xmlns="http://schemas.openxmlformats.org/officeDocument/2006/custom-properties" xmlns:vt="http://schemas.openxmlformats.org/officeDocument/2006/docPropsVTypes"/>
</file>