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spacing w:after="120"/>
      </w:pPr>
      <w:r>
        <w:rPr>
          <w:b/>
          <w:bCs/>
        </w:rPr>
        <w:t xml:space="preserve">2.4 </w:t>
      </w:r>
      <w:r>
        <w:t xml:space="preserve">Notwithstanding clause 2.1, either party shall be free to use for any purpose the Residuals resulting from access to or work with the Confidential Information of the other party. "Residuals" means information in non-tangible form which may be retained in the unaided memory of persons who have had access to the Confidential Information.</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During the term of this Agreement and for twenty-four (24) months thereafter, PortSwigger shall not directly or indirectly solicit, employ or engage any employee of Acme with whom it has had contact in connection with the Purpose.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laws of the State of New York.</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2026-10-16T20:50:07.244Z</dcterms:created>
  <dcterms:modified xsi:type="dcterms:W3CDTF">2026-10-16T20:50:07.245Z</dcterms:modified>
</cp:coreProperties>
</file>

<file path=docProps/custom.xml><?xml version="1.0" encoding="utf-8"?>
<Properties xmlns="http://schemas.openxmlformats.org/officeDocument/2006/custom-properties" xmlns:vt="http://schemas.openxmlformats.org/officeDocument/2006/docPropsVTypes"/>
</file>