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For twelve (12) months after the date of this Agreement neither party shall solicit any employee of the other party with whom it had direct contact in connection with the Purpose, save that general advertisements not targeted at such employees shall not breach this clause.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 of England and Wales.</w:t>
      </w:r>
    </w:p>
    <w:p>
      <w:pPr>
        <w:spacing w:after="120"/>
      </w:pPr>
      <w:r>
        <w:rPr>
          <w:b/>
          <w:bCs/>
        </w:rPr>
        <w:t xml:space="preserve">6.9 </w:t>
      </w:r>
      <w:r>
        <w:t xml:space="preserve">The state and federal courts located in New York County, New York 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2026-10-17T12:27:03.842Z</dcterms:created>
  <dcterms:modified xsi:type="dcterms:W3CDTF">2026-10-17T12:27:03.842Z</dcterms:modified>
</cp:coreProperties>
</file>

<file path=docProps/custom.xml><?xml version="1.0" encoding="utf-8"?>
<Properties xmlns="http://schemas.openxmlformats.org/officeDocument/2006/custom-properties" xmlns:vt="http://schemas.openxmlformats.org/officeDocument/2006/docPropsVTypes"/>
</file>