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For twelve (12) months after the date of this Agreement neither party shall solicit any employee of the other party with whom it had direct contact in connection with the Purpose, save that general advertisements not targeted at such employees shall not breach this clause.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 of England and Wales.</w:t>
      </w:r>
    </w:p>
    <w:p>
      <w:pPr>
        <w:spacing w:after="120"/>
      </w:pPr>
      <w:r>
        <w:rPr>
          <w:b/>
          <w:bCs/>
        </w:rPr>
        <w:t xml:space="preserve">6.9 </w:t>
      </w:r>
      <w:r>
        <w:t xml:space="preserve">The state and federal courts located in New York County, New York shall have exclusive jurisdiction to settle any dispute or claim arising out of or in connection with this Agreement.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2026-10-16T21:40:06.452Z</dcterms:created>
  <dcterms:modified xsi:type="dcterms:W3CDTF">2026-10-16T21:40:06.452Z</dcterms:modified>
</cp:coreProperties>
</file>

<file path=docProps/custom.xml><?xml version="1.0" encoding="utf-8"?>
<Properties xmlns="http://schemas.openxmlformats.org/officeDocument/2006/custom-properties" xmlns:vt="http://schemas.openxmlformats.org/officeDocument/2006/docPropsVTypes"/>
</file>