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Enrollment Policy</w:t>
      </w:r>
    </w:p>
    <w:p>
      <w:pPr/>
      <w:r>
        <w:t>Admissions Process</w:t>
      </w:r>
    </w:p>
    <w:p>
      <w:pPr/>
      <w:r>
        <w:t>Enrollment begins with an inquiry, followed by a tour and a conversation with our admissions team. If a place is available and suitable, families are invited to complete the application process and confirm placement.</w:t>
      </w:r>
    </w:p>
    <w:p>
      <w:pPr/>
      <w:r>
        <w:t>Documentation and Readiness</w:t>
      </w:r>
    </w:p>
    <w:p>
      <w:pPr/>
      <w:r>
        <w:t>Families are asked to provide relevant medical, emergency, and enrollment information so we can prepare for a calm and well-supported start. We support a phased transition period for new children.</w:t>
      </w:r>
    </w:p>
    <w:sectPr>
      <w:pgSz w:w="12240" w:h="15840"/>
      <w:pgMar w:top="1440" w:right="1440" w:bottom="1440" w:left="1440"/>
    </w:sectPr>
  </w:body>
</w:document>
</file>