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Fire and Emergency Evacuation Plan Policy</w:t>
      </w:r>
    </w:p>
    <w:p>
      <w:pPr/>
      <w:r>
        <w:t>Preparedness</w:t>
      </w:r>
    </w:p>
    <w:p>
      <w:pPr/>
      <w:r>
        <w:t>Tiny Explorers maintains clear plans for fire, evacuation, and other emergency situations. Staff are trained to respond promptly, calmly, and in a way that protects the children in their care.</w:t>
      </w:r>
    </w:p>
    <w:p>
      <w:pPr/>
      <w:r>
        <w:t>Response and Communication</w:t>
      </w:r>
    </w:p>
    <w:p>
      <w:pPr/>
      <w:r>
        <w:t>In the event of an emergency, staff will guide children to safety, account for each child, and communicate with families as appropriate.</w:t>
      </w:r>
    </w:p>
    <w:sectPr>
      <w:pgSz w:w="12240" w:h="15840"/>
      <w:pgMar w:top="1440" w:right="1440" w:bottom="1440" w:left="1440"/>
    </w:sectPr>
  </w:body>
</w:document>
</file>