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Mandatory Reporter Policy</w:t>
      </w:r>
    </w:p>
    <w:p>
      <w:pPr/>
      <w:r>
        <w:t>Duty to Report</w:t>
      </w:r>
    </w:p>
    <w:p>
      <w:pPr/>
      <w:r>
        <w:t>All staff members are expected to act in the best interests of children and to report any concerns about welfare, abuse, or neglect in accordance with legal and ethical responsibilities.</w:t>
      </w:r>
    </w:p>
    <w:p>
      <w:pPr/>
      <w:r>
        <w:t>Management of Concerns</w:t>
      </w:r>
    </w:p>
    <w:p>
      <w:pPr/>
      <w:r>
        <w:t>Reports are made to the designated safeguarding lead and handled in a serious, professional, and timely way. The welfare of the child remains the highest priority.</w:t>
      </w:r>
    </w:p>
    <w:sectPr>
      <w:pgSz w:w="12240" w:h="15840"/>
      <w:pgMar w:top="1440" w:right="1440" w:bottom="1440" w:left="1440"/>
    </w:sectPr>
  </w:body>
</w:document>
</file>