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Medicine Policy</w:t>
      </w:r>
    </w:p>
    <w:p>
      <w:pPr/>
      <w:r>
        <w:t>General Guidelines</w:t>
      </w:r>
    </w:p>
    <w:p>
      <w:pPr/>
      <w:r>
        <w:t>We prioritize the health and safety of all children. Medication will only be administered with written consent from a parent or guardian and must be stored securely.</w:t>
      </w:r>
    </w:p>
    <w:p>
      <w:pPr/>
      <w:r>
        <w:t>Administration of Medication</w:t>
      </w:r>
    </w:p>
    <w:p>
      <w:pPr/>
      <w:r>
        <w:t>Only trained staff may administer medication. Each administration is recorded in a medication log and parents are notified of any concerns or missed doses.</w:t>
      </w:r>
    </w:p>
    <w:p>
      <w:pPr/>
      <w:r>
        <w:t>Special Considerations</w:t>
      </w:r>
    </w:p>
    <w:p>
      <w:pPr/>
      <w:r>
        <w:t>Emergency medications will be kept in an easily accessible but secure location. Children with chronic conditions will have an individualized care plan where appropriate.</w:t>
      </w:r>
    </w:p>
    <w:sectPr>
      <w:pgSz w:w="12240" w:h="15840"/>
      <w:pgMar w:top="1440" w:right="1440" w:bottom="1440" w:left="1440"/>
    </w:sectPr>
  </w:body>
</w:document>
</file>