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Safe Sleep Policy</w:t>
      </w:r>
    </w:p>
    <w:p>
      <w:pPr/>
      <w:r>
        <w:t>Safe Sleep Environment</w:t>
      </w:r>
    </w:p>
    <w:p>
      <w:pPr/>
      <w:r>
        <w:t>Infants will sleep in designated cribs that meet safety standards. Cribs are equipped with firm mattresses and fitted sheets with no loose bedding.</w:t>
      </w:r>
    </w:p>
    <w:p>
      <w:pPr/>
      <w:r>
        <w:t>Monitoring During Sleep</w:t>
      </w:r>
    </w:p>
    <w:p>
      <w:pPr/>
      <w:r>
        <w:t>While children are sleeping, staff will perform regular checks at least every 15 minutes and ensure the child remains comfortable and safe.</w:t>
      </w:r>
    </w:p>
    <w:p>
      <w:pPr/>
      <w:r>
        <w:t>Parent Communication and Education</w:t>
      </w:r>
    </w:p>
    <w:p>
      <w:pPr/>
      <w:r>
        <w:t>Parents will be informed of the Safe Sleep Policy upon enrollment and encouraged to discuss any specific sleep needs or preferences for their child.</w:t>
      </w:r>
    </w:p>
    <w:sectPr>
      <w:pgSz w:w="12240" w:h="15840"/>
      <w:pgMar w:top="1440" w:right="1440" w:bottom="1440" w:left="1440"/>
    </w:sectPr>
  </w:body>
</w:document>
</file>