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
        <w:t>Transport and Field Trip Policy</w:t>
      </w:r>
    </w:p>
    <w:p>
      <w:pPr/>
      <w:r>
        <w:t>Transportation Guidelines</w:t>
      </w:r>
    </w:p>
    <w:p>
      <w:pPr/>
      <w:r>
        <w:t>All children will be transported in vehicles that meet all safety standards and regulations, with age-appropriate car seats or seat belts as required by law.</w:t>
      </w:r>
    </w:p>
    <w:p>
      <w:pPr/>
      <w:r>
        <w:t>Field Trip Guidelines</w:t>
      </w:r>
    </w:p>
    <w:p>
      <w:pPr/>
      <w:r>
        <w:t>Parents will be informed in advance about upcoming field trips, including the destination, date, time, and any special instructions. Close supervision and clear safety procedures will be maintained throughout each trip.</w:t>
      </w:r>
    </w:p>
    <w:sectPr>
      <w:pgSz w:w="12240" w:h="15840"/>
      <w:pgMar w:top="1440" w:right="1440" w:bottom="1440" w:left="1440"/>
    </w:sectPr>
  </w:body>
</w:document>
</file>