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1.0</w:t>
            </w:r>
          </w:p>
        </w:tc>
        <w:tc>
          <w:tcPr>
            <w:tcW w:type="dxa" w:w="1960"/>
          </w:tcPr>
          <w:p>
            <w:r>
              <w:rPr>
                <w:rFonts w:ascii="Arial" w:hAnsi="Arial" w:eastAsia="Arial"/>
                <w:b w:val="0"/>
                <w:i w:val="0"/>
                <w:color w:val="1F1F1F"/>
                <w:sz w:val="18"/>
              </w:rPr>
              <w:t>POL-001</w:t>
            </w:r>
          </w:p>
        </w:tc>
        <w:tc>
          <w:tcPr>
            <w:tcW w:type="dxa" w:w="1960"/>
          </w:tcPr>
          <w:p>
            <w:r>
              <w:rPr>
                <w:rFonts w:ascii="Arial" w:hAnsi="Arial" w:eastAsia="Arial"/>
                <w:b w:val="0"/>
                <w:i w:val="0"/>
                <w:color w:val="1F1F1F"/>
                <w:sz w:val="18"/>
              </w:rPr>
              <w:t>1 Sep 2026</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E8622A"/>
          <w:sz w:val="16"/>
        </w:rPr>
        <w:t>POLICY DOCUMENT · EDITABLE COPY OF THE PUBLISHED PDF</w:t>
      </w:r>
    </w:p>
    <w:p>
      <w:pPr>
        <w:spacing w:after="80" w:line="324" w:lineRule="auto"/>
      </w:pPr>
      <w:r>
        <w:rPr>
          <w:rFonts w:ascii="Georgia" w:hAnsi="Georgia" w:eastAsia="Georgia"/>
          <w:b w:val="0"/>
          <w:i w:val="0"/>
          <w:color w:val="1F1F1F"/>
          <w:sz w:val="48"/>
        </w:rPr>
        <w:t>Complaint Policy</w:t>
      </w:r>
    </w:p>
    <w:p>
      <w:pPr>
        <w:spacing w:after="200" w:line="324" w:lineRule="auto"/>
        <w:pBdr>
          <w:bottom w:val="single" w:sz="4" w:space="4" w:color="E2DDD6"/>
        </w:pBdr>
      </w:pPr>
      <w:r>
        <w:rPr>
          <w:rFonts w:ascii="Arial" w:hAnsi="Arial" w:eastAsia="Arial"/>
          <w:b w:val="0"/>
          <w:i w:val="0"/>
          <w:color w:val="5B5753"/>
          <w:sz w:val="21"/>
        </w:rPr>
        <w:t>A clear, fair and timely process for addressing concerns and complaints raised by parents, guardians and staff.</w:t>
      </w:r>
    </w:p>
    <w:p>
      <w:pPr>
        <w:spacing w:after="200" w:line="324" w:lineRule="auto"/>
      </w:pPr>
      <w:r>
        <w:rPr>
          <w:rFonts w:ascii="Arial" w:hAnsi="Arial" w:eastAsia="Arial"/>
          <w:b w:val="0"/>
          <w:i w:val="0"/>
          <w:color w:val="1F1F1F"/>
          <w:sz w:val="23"/>
        </w:rPr>
        <w:t>Tiny Explorers Nursery and Preschool is committed to a high-quality environment for children, parents and staff. We value feedback and recognise that concerns may arise. This policy sets out how complaints are received, investigated and resolved with care and respect.</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Purpose</w:t>
      </w:r>
    </w:p>
    <w:p>
      <w:pPr>
        <w:spacing w:after="120" w:line="324" w:lineRule="auto"/>
      </w:pPr>
      <w:r>
        <w:rPr>
          <w:rFonts w:ascii="Arial" w:hAnsi="Arial" w:eastAsia="Arial"/>
          <w:b w:val="0"/>
          <w:i w:val="0"/>
          <w:color w:val="1F1F1F"/>
          <w:sz w:val="21"/>
        </w:rPr>
        <w:t>To provide a clear and structured process for addressing and resolving complaints from parents, guardians and staff in a timely and fair manner.</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Submitting a Complaint</w:t>
      </w:r>
    </w:p>
    <w:p>
      <w:pPr>
        <w:spacing w:after="120" w:line="324" w:lineRule="auto"/>
      </w:pPr>
      <w:r>
        <w:rPr>
          <w:rFonts w:ascii="Arial" w:hAnsi="Arial" w:eastAsia="Arial"/>
          <w:b w:val="0"/>
          <w:i w:val="0"/>
          <w:color w:val="1F1F1F"/>
          <w:sz w:val="21"/>
        </w:rPr>
        <w:t>2.1 Initial Contact: Most concerns can be resolved through open, honest conversation. Parents are encouraged to raise concerns directly with the staff member or teacher involved to seek an immediate resolution.</w:t>
      </w:r>
    </w:p>
    <w:p>
      <w:pPr>
        <w:spacing w:after="120" w:line="324" w:lineRule="auto"/>
      </w:pPr>
      <w:r>
        <w:rPr>
          <w:rFonts w:ascii="Arial" w:hAnsi="Arial" w:eastAsia="Arial"/>
          <w:b w:val="0"/>
          <w:i w:val="0"/>
          <w:color w:val="1F1F1F"/>
          <w:sz w:val="21"/>
        </w:rPr>
        <w:t>2.2 Formal Complaint: If informal discussion does not resolve the issue, or the matter is more serious, a formal complaint may be submitted in writing or verbally to the School Director or designated Complaints Officer. A written complaint should include:</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Date of the complaint</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Names of individuals involved</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A detailed description of the concern</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Any steps already taken to resolve it informally</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The desired outcome or resolution</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Complaint Handling Procedure</w:t>
      </w:r>
    </w:p>
    <w:p>
      <w:pPr>
        <w:spacing w:after="120" w:line="324" w:lineRule="auto"/>
      </w:pPr>
      <w:r>
        <w:rPr>
          <w:rFonts w:ascii="Arial" w:hAnsi="Arial" w:eastAsia="Arial"/>
          <w:b w:val="0"/>
          <w:i w:val="0"/>
          <w:color w:val="1F1F1F"/>
          <w:sz w:val="21"/>
        </w:rPr>
        <w:t>01 Acknowledgment: All formal complaints are acknowledged within 2 business days, with an outline of next steps and an estimated timeline.</w:t>
      </w:r>
    </w:p>
    <w:p>
      <w:pPr>
        <w:spacing w:after="120" w:line="324" w:lineRule="auto"/>
      </w:pPr>
      <w:r>
        <w:rPr>
          <w:rFonts w:ascii="Arial" w:hAnsi="Arial" w:eastAsia="Arial"/>
          <w:b w:val="0"/>
          <w:i w:val="0"/>
          <w:color w:val="1F1F1F"/>
          <w:sz w:val="21"/>
        </w:rPr>
        <w:t>02 Investigation: The complaint is investigated thoroughly, impartially and confidentially — reviewing documentation, interviewing involved parties and gathering further information as needed.</w:t>
      </w:r>
    </w:p>
    <w:p>
      <w:pPr>
        <w:spacing w:after="120" w:line="324" w:lineRule="auto"/>
      </w:pPr>
      <w:r>
        <w:rPr>
          <w:rFonts w:ascii="Arial" w:hAnsi="Arial" w:eastAsia="Arial"/>
          <w:b w:val="0"/>
          <w:i w:val="0"/>
          <w:color w:val="1F1F1F"/>
          <w:sz w:val="21"/>
        </w:rPr>
        <w:t>03 Resolution: A resolution is proposed and communicated to the complainant, including a summary of findings, actions taken, any procedural changes, and an implementation timeline.</w:t>
      </w:r>
    </w:p>
    <w:p>
      <w:pPr>
        <w:spacing w:after="120" w:line="324" w:lineRule="auto"/>
      </w:pPr>
      <w:r>
        <w:rPr>
          <w:rFonts w:ascii="Arial" w:hAnsi="Arial" w:eastAsia="Arial"/>
          <w:b w:val="0"/>
          <w:i w:val="0"/>
          <w:color w:val="1F1F1F"/>
          <w:sz w:val="21"/>
        </w:rPr>
        <w:t>04 Follow-Up: Follow-up confirms the resolution was implemented effectively and identifies improvements to prevent similar issues.</w:t>
      </w:r>
    </w:p>
    <w:p>
      <w:pPr>
        <w:spacing w:after="40" w:line="324" w:lineRule="auto"/>
      </w:pPr>
      <w:r>
        <w:rPr>
          <w:rFonts w:ascii="Arial" w:hAnsi="Arial" w:eastAsia="Arial"/>
          <w:b w:val="0"/>
          <w:i w:val="0"/>
          <w:color w:val="E8622A"/>
          <w:sz w:val="15"/>
        </w:rPr>
        <w:t>LEGAL REQUIREMENT</w:t>
      </w:r>
    </w:p>
    <w:p>
      <w:pPr>
        <w:spacing w:after="40" w:line="324" w:lineRule="auto"/>
      </w:pPr>
      <w:r>
        <w:rPr>
          <w:rFonts w:ascii="Georgia" w:hAnsi="Georgia" w:eastAsia="Georgia"/>
          <w:b w:val="0"/>
          <w:i/>
          <w:color w:val="1F1F1F"/>
          <w:sz w:val="24"/>
        </w:rPr>
        <w:t>"All complaints are handled confidentially."</w:t>
      </w:r>
    </w:p>
    <w:p>
      <w:pPr>
        <w:spacing w:after="120" w:line="324" w:lineRule="auto"/>
      </w:pPr>
      <w:r>
        <w:rPr>
          <w:rFonts w:ascii="Arial" w:hAnsi="Arial" w:eastAsia="Arial"/>
          <w:b w:val="0"/>
          <w:i w:val="0"/>
          <w:color w:val="1F1F1F"/>
          <w:sz w:val="21"/>
        </w:rPr>
        <w:t>Information is shared only with individuals directly involved in investigating or resolving the complaint. A confidential record of the complaint, investigation and resolution is retained to track recurring issues.</w:t>
      </w:r>
    </w:p>
    <w:p>
      <w:pPr>
        <w:keepNext/>
        <w:spacing w:after="0" w:line="324" w:lineRule="auto"/>
      </w:pPr>
      <w:r>
        <w:rPr>
          <w:rFonts w:ascii="Arial" w:hAnsi="Arial" w:eastAsia="Arial"/>
          <w:b w:val="0"/>
          <w:i w:val="0"/>
          <w:color w:val="E8622A"/>
          <w:sz w:val="16"/>
        </w:rPr>
        <w:t>04</w:t>
      </w:r>
    </w:p>
    <w:p>
      <w:pPr>
        <w:keepNext/>
        <w:spacing w:after="120" w:line="324" w:lineRule="auto"/>
        <w:pBdr>
          <w:bottom w:val="single" w:sz="4" w:space="4" w:color="E2DDD6"/>
        </w:pBdr>
      </w:pPr>
      <w:r>
        <w:rPr>
          <w:rFonts w:ascii="Georgia" w:hAnsi="Georgia" w:eastAsia="Georgia"/>
          <w:b w:val="0"/>
          <w:i w:val="0"/>
          <w:color w:val="1F1F1F"/>
          <w:sz w:val="32"/>
        </w:rPr>
        <w:t>Appeal Process</w:t>
      </w:r>
    </w:p>
    <w:p>
      <w:pPr>
        <w:spacing w:after="120" w:line="324" w:lineRule="auto"/>
      </w:pPr>
      <w:r>
        <w:rPr>
          <w:rFonts w:ascii="Arial" w:hAnsi="Arial" w:eastAsia="Arial"/>
          <w:b w:val="0"/>
          <w:i w:val="0"/>
          <w:color w:val="1F1F1F"/>
          <w:sz w:val="21"/>
        </w:rPr>
        <w:t>A complainant not satisfied with the resolution may appeal in writing within 7 business days of receiving it. The appeal is reviewed by a senior administrator or independent mediator, with a final decision communicated within 10 business days of receipt.</w:t>
      </w:r>
    </w:p>
    <w:p>
      <w:pPr>
        <w:keepNext/>
        <w:spacing w:after="0" w:line="324" w:lineRule="auto"/>
      </w:pPr>
      <w:r>
        <w:rPr>
          <w:rFonts w:ascii="Arial" w:hAnsi="Arial" w:eastAsia="Arial"/>
          <w:b w:val="0"/>
          <w:i w:val="0"/>
          <w:color w:val="E8622A"/>
          <w:sz w:val="16"/>
        </w:rPr>
        <w:t>05</w:t>
      </w:r>
    </w:p>
    <w:p>
      <w:pPr>
        <w:keepNext/>
        <w:spacing w:after="120" w:line="324" w:lineRule="auto"/>
        <w:pBdr>
          <w:bottom w:val="single" w:sz="4" w:space="4" w:color="E2DDD6"/>
        </w:pBdr>
      </w:pPr>
      <w:r>
        <w:rPr>
          <w:rFonts w:ascii="Georgia" w:hAnsi="Georgia" w:eastAsia="Georgia"/>
          <w:b w:val="0"/>
          <w:i w:val="0"/>
          <w:color w:val="1F1F1F"/>
          <w:sz w:val="32"/>
        </w:rPr>
        <w:t>Non-Retaliation</w:t>
      </w:r>
    </w:p>
    <w:p>
      <w:pPr>
        <w:spacing w:after="120" w:line="324" w:lineRule="auto"/>
      </w:pPr>
      <w:r>
        <w:rPr>
          <w:rFonts w:ascii="Arial" w:hAnsi="Arial" w:eastAsia="Arial"/>
          <w:b w:val="0"/>
          <w:i w:val="0"/>
          <w:color w:val="1F1F1F"/>
          <w:sz w:val="21"/>
        </w:rPr>
        <w:t>Individuals who submit a complaint or participate in an investigation are protected from retaliation. Any retaliatory conduct is treated as a serious policy violation.</w:t>
      </w:r>
    </w:p>
    <w:p>
      <w:pPr>
        <w:keepNext/>
        <w:spacing w:after="0" w:line="324" w:lineRule="auto"/>
      </w:pPr>
      <w:r>
        <w:rPr>
          <w:rFonts w:ascii="Arial" w:hAnsi="Arial" w:eastAsia="Arial"/>
          <w:b w:val="0"/>
          <w:i w:val="0"/>
          <w:color w:val="E8622A"/>
          <w:sz w:val="16"/>
        </w:rPr>
        <w:t>06</w:t>
      </w:r>
    </w:p>
    <w:p>
      <w:pPr>
        <w:keepNext/>
        <w:spacing w:after="120" w:line="324" w:lineRule="auto"/>
        <w:pBdr>
          <w:bottom w:val="single" w:sz="4" w:space="4" w:color="E2DDD6"/>
        </w:pBdr>
      </w:pPr>
      <w:r>
        <w:rPr>
          <w:rFonts w:ascii="Georgia" w:hAnsi="Georgia" w:eastAsia="Georgia"/>
          <w:b w:val="0"/>
          <w:i w:val="0"/>
          <w:color w:val="1F1F1F"/>
          <w:sz w:val="32"/>
        </w:rPr>
        <w:t>Continuous Improvement</w:t>
      </w:r>
    </w:p>
    <w:p>
      <w:pPr>
        <w:spacing w:after="120" w:line="324" w:lineRule="auto"/>
      </w:pPr>
      <w:r>
        <w:rPr>
          <w:rFonts w:ascii="Arial" w:hAnsi="Arial" w:eastAsia="Arial"/>
          <w:b w:val="0"/>
          <w:i w:val="0"/>
          <w:color w:val="1F1F1F"/>
          <w:sz w:val="21"/>
        </w:rPr>
        <w:t>This policy is reviewed annually, incorporating feedback from complainants and staff training on effective, empathetic complaint handling.</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Board of Governors</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Policy</dc:title>
  <dc:subject>POL-001 v1.0</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