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POL-003</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Enrollment Policy</w:t>
      </w:r>
    </w:p>
    <w:p>
      <w:pPr>
        <w:spacing w:after="200" w:line="324" w:lineRule="auto"/>
        <w:pBdr>
          <w:bottom w:val="single" w:sz="4" w:space="4" w:color="E2DDD6"/>
        </w:pBdr>
      </w:pPr>
      <w:r>
        <w:rPr>
          <w:rFonts w:ascii="Arial" w:hAnsi="Arial" w:eastAsia="Arial"/>
          <w:b w:val="0"/>
          <w:i w:val="0"/>
          <w:color w:val="5B5753"/>
          <w:sz w:val="21"/>
        </w:rPr>
        <w:t>Requirements and process for enrolling a child at Tiny Explorers, from first tour to first day.</w:t>
      </w:r>
    </w:p>
    <w:p>
      <w:pPr>
        <w:spacing w:after="200" w:line="324" w:lineRule="auto"/>
      </w:pPr>
      <w:r>
        <w:rPr>
          <w:rFonts w:ascii="Arial" w:hAnsi="Arial" w:eastAsia="Arial"/>
          <w:b w:val="0"/>
          <w:i w:val="0"/>
          <w:color w:val="1F1F1F"/>
          <w:sz w:val="23"/>
        </w:rPr>
        <w:t>Tiny Explorers Nursery and Preschool is committed to a nurturing, educational environment for every child. This policy outlines the requirements and steps for enrollment, ensuring a smooth and transparent process for all families.</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Age Requirements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Infants: From 8 weeks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Toddlers: 12 months – 2 years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Preschoolers: 3 – 5 years</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Enrollment Process</w:t>
      </w:r>
    </w:p>
    <w:p>
      <w:pPr>
        <w:spacing w:after="120" w:line="324" w:lineRule="auto"/>
      </w:pPr>
      <w:r>
        <w:rPr>
          <w:rFonts w:ascii="Arial" w:hAnsi="Arial" w:eastAsia="Arial"/>
          <w:b w:val="0"/>
          <w:i w:val="0"/>
          <w:color w:val="1F1F1F"/>
          <w:sz w:val="21"/>
        </w:rPr>
        <w:t>01 Tour &amp; information session: Prospective families are encouraged to tour the facility, meet staff, and learn about our programs and philosophy.</w:t>
      </w:r>
    </w:p>
    <w:p>
      <w:pPr>
        <w:spacing w:after="120" w:line="324" w:lineRule="auto"/>
      </w:pPr>
      <w:r>
        <w:rPr>
          <w:rFonts w:ascii="Arial" w:hAnsi="Arial" w:eastAsia="Arial"/>
          <w:b w:val="0"/>
          <w:i w:val="0"/>
          <w:color w:val="1F1F1F"/>
          <w:sz w:val="21"/>
        </w:rPr>
        <w:t>02 Application: Families complete an enrollment application with basic information about the child and family.</w:t>
      </w:r>
    </w:p>
    <w:p>
      <w:pPr>
        <w:spacing w:after="120" w:line="324" w:lineRule="auto"/>
      </w:pPr>
      <w:r>
        <w:rPr>
          <w:rFonts w:ascii="Arial" w:hAnsi="Arial" w:eastAsia="Arial"/>
          <w:b w:val="0"/>
          <w:i w:val="0"/>
          <w:color w:val="1F1F1F"/>
          <w:sz w:val="21"/>
        </w:rPr>
        <w:t>03 Enrollment fee: A non-refundable enrollment fee secures the child's place and is due at the time of application.</w:t>
      </w:r>
    </w:p>
    <w:p>
      <w:pPr>
        <w:spacing w:after="120" w:line="324" w:lineRule="auto"/>
      </w:pPr>
      <w:r>
        <w:rPr>
          <w:rFonts w:ascii="Arial" w:hAnsi="Arial" w:eastAsia="Arial"/>
          <w:b w:val="0"/>
          <w:i w:val="0"/>
          <w:color w:val="1F1F1F"/>
          <w:sz w:val="21"/>
        </w:rPr>
        <w:t>04 Health &amp; immunization records: Up-to-date health and immunization records must be submitted before the child's first day.</w:t>
      </w:r>
    </w:p>
    <w:p>
      <w:pPr>
        <w:spacing w:after="120" w:line="324" w:lineRule="auto"/>
      </w:pPr>
      <w:r>
        <w:rPr>
          <w:rFonts w:ascii="Arial" w:hAnsi="Arial" w:eastAsia="Arial"/>
          <w:b w:val="0"/>
          <w:i w:val="0"/>
          <w:color w:val="1F1F1F"/>
          <w:sz w:val="21"/>
        </w:rPr>
        <w:t>05 Enrollment packet: Accepted families receive forms and information including emergency contacts, consent forms, and the Parent Handbook.</w:t>
      </w:r>
    </w:p>
    <w:p>
      <w:pPr>
        <w:spacing w:after="120" w:line="324" w:lineRule="auto"/>
      </w:pPr>
      <w:r>
        <w:rPr>
          <w:rFonts w:ascii="Arial" w:hAnsi="Arial" w:eastAsia="Arial"/>
          <w:b w:val="0"/>
          <w:i w:val="0"/>
          <w:color w:val="1F1F1F"/>
          <w:sz w:val="21"/>
        </w:rPr>
        <w:t>06 Orientation: An orientation session introduces the child to their teacher and classroom and addresses any specific needs.</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Waitlist &amp; Priority</w:t>
      </w:r>
    </w:p>
    <w:p>
      <w:pPr>
        <w:spacing w:after="120" w:line="324" w:lineRule="auto"/>
      </w:pPr>
      <w:r>
        <w:rPr>
          <w:rFonts w:ascii="Arial" w:hAnsi="Arial" w:eastAsia="Arial"/>
          <w:b w:val="0"/>
          <w:i w:val="0"/>
          <w:color w:val="1F1F1F"/>
          <w:sz w:val="21"/>
        </w:rPr>
        <w:t>When a program is full, families may join a waitlist, ordered by application date and space available within the appropriate age group. Priority enrollment may be given to siblings of currently enrolled children and to children of staff members, supporting continuity and community.</w:t>
      </w:r>
    </w:p>
    <w:p>
      <w:pPr>
        <w:keepNext/>
        <w:spacing w:after="0" w:line="324" w:lineRule="auto"/>
      </w:pPr>
      <w:r>
        <w:rPr>
          <w:rFonts w:ascii="Arial" w:hAnsi="Arial" w:eastAsia="Arial"/>
          <w:b w:val="0"/>
          <w:i w:val="0"/>
          <w:color w:val="E8622A"/>
          <w:sz w:val="16"/>
        </w:rPr>
        <w:t>04</w:t>
      </w:r>
    </w:p>
    <w:p>
      <w:pPr>
        <w:keepNext/>
        <w:spacing w:after="120" w:line="324" w:lineRule="auto"/>
        <w:pBdr>
          <w:bottom w:val="single" w:sz="4" w:space="4" w:color="E2DDD6"/>
        </w:pBdr>
      </w:pPr>
      <w:r>
        <w:rPr>
          <w:rFonts w:ascii="Georgia" w:hAnsi="Georgia" w:eastAsia="Georgia"/>
          <w:b w:val="0"/>
          <w:i w:val="0"/>
          <w:color w:val="1F1F1F"/>
          <w:sz w:val="32"/>
        </w:rPr>
        <w:t>Tuition &amp; Withdrawal</w:t>
      </w:r>
    </w:p>
    <w:p>
      <w:pPr>
        <w:spacing w:after="120" w:line="324" w:lineRule="auto"/>
      </w:pPr>
      <w:r>
        <w:rPr>
          <w:rFonts w:ascii="Arial" w:hAnsi="Arial" w:eastAsia="Arial"/>
          <w:b w:val="0"/>
          <w:i w:val="0"/>
          <w:color w:val="1F1F1F"/>
          <w:sz w:val="21"/>
        </w:rPr>
        <w:t>Tuition varies by age group and program (part-time or full-time) and is detailed in the enrollment packet; payments are due monthly. Families withdrawing a child must provide a minimum of 30 days' written notice — failure to do so may result in forfeiture of deposits or an additional month's tuition.</w:t>
      </w:r>
    </w:p>
    <w:p>
      <w:pPr>
        <w:keepNext/>
        <w:spacing w:after="0" w:line="324" w:lineRule="auto"/>
      </w:pPr>
      <w:r>
        <w:rPr>
          <w:rFonts w:ascii="Arial" w:hAnsi="Arial" w:eastAsia="Arial"/>
          <w:b w:val="0"/>
          <w:i w:val="0"/>
          <w:color w:val="E8622A"/>
          <w:sz w:val="16"/>
        </w:rPr>
        <w:t>05</w:t>
      </w:r>
    </w:p>
    <w:p>
      <w:pPr>
        <w:keepNext/>
        <w:spacing w:after="120" w:line="324" w:lineRule="auto"/>
        <w:pBdr>
          <w:bottom w:val="single" w:sz="4" w:space="4" w:color="E2DDD6"/>
        </w:pBdr>
      </w:pPr>
      <w:r>
        <w:rPr>
          <w:rFonts w:ascii="Georgia" w:hAnsi="Georgia" w:eastAsia="Georgia"/>
          <w:b w:val="0"/>
          <w:i w:val="0"/>
          <w:color w:val="1F1F1F"/>
          <w:sz w:val="32"/>
        </w:rPr>
        <w:t>Non-Discrimination</w:t>
      </w:r>
    </w:p>
    <w:p>
      <w:pPr>
        <w:spacing w:after="40" w:line="324" w:lineRule="auto"/>
      </w:pPr>
      <w:r>
        <w:rPr>
          <w:rFonts w:ascii="Arial" w:hAnsi="Arial" w:eastAsia="Arial"/>
          <w:b w:val="0"/>
          <w:i w:val="0"/>
          <w:color w:val="E8622A"/>
          <w:sz w:val="15"/>
        </w:rPr>
        <w:t>NON-DISCRIMINATION</w:t>
      </w:r>
    </w:p>
    <w:p>
      <w:pPr>
        <w:spacing w:after="40" w:line="324" w:lineRule="auto"/>
      </w:pPr>
      <w:r>
        <w:rPr>
          <w:rFonts w:ascii="Georgia" w:hAnsi="Georgia" w:eastAsia="Georgia"/>
          <w:b w:val="0"/>
          <w:i/>
          <w:color w:val="1F1F1F"/>
          <w:sz w:val="24"/>
        </w:rPr>
        <w:t>"An inclusive environment that welcomes children of all backgrounds."</w:t>
      </w:r>
    </w:p>
    <w:p>
      <w:pPr>
        <w:spacing w:after="120" w:line="324" w:lineRule="auto"/>
      </w:pPr>
      <w:r>
        <w:rPr>
          <w:rFonts w:ascii="Arial" w:hAnsi="Arial" w:eastAsia="Arial"/>
          <w:b w:val="0"/>
          <w:i w:val="0"/>
          <w:color w:val="1F1F1F"/>
          <w:sz w:val="21"/>
        </w:rPr>
        <w:t>Tiny Explorers does not discriminate on the basis of race, colour, religion, national origin, gender, or disability in its enrollment practices.</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Policy</dc:title>
  <dc:subject>POL-003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