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1.0</w:t>
            </w:r>
          </w:p>
        </w:tc>
        <w:tc>
          <w:tcPr>
            <w:tcW w:type="dxa" w:w="1960"/>
          </w:tcPr>
          <w:p>
            <w:r>
              <w:rPr>
                <w:rFonts w:ascii="Arial" w:hAnsi="Arial" w:eastAsia="Arial"/>
                <w:b w:val="0"/>
                <w:i w:val="0"/>
                <w:color w:val="1F1F1F"/>
                <w:sz w:val="18"/>
              </w:rPr>
              <w:t>POL-006</w:t>
            </w:r>
          </w:p>
        </w:tc>
        <w:tc>
          <w:tcPr>
            <w:tcW w:type="dxa" w:w="1960"/>
          </w:tcPr>
          <w:p>
            <w:r>
              <w:rPr>
                <w:rFonts w:ascii="Arial" w:hAnsi="Arial" w:eastAsia="Arial"/>
                <w:b w:val="0"/>
                <w:i w:val="0"/>
                <w:color w:val="1F1F1F"/>
                <w:sz w:val="18"/>
              </w:rPr>
              <w:t>1 Sep 2026</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E8622A"/>
          <w:sz w:val="16"/>
        </w:rPr>
        <w:t>POLICY DOCUMENT · EDITABLE COPY OF THE PUBLISHED PDF</w:t>
      </w:r>
    </w:p>
    <w:p>
      <w:pPr>
        <w:spacing w:after="80" w:line="324" w:lineRule="auto"/>
      </w:pPr>
      <w:r>
        <w:rPr>
          <w:rFonts w:ascii="Georgia" w:hAnsi="Georgia" w:eastAsia="Georgia"/>
          <w:b w:val="0"/>
          <w:i w:val="0"/>
          <w:color w:val="1F1F1F"/>
          <w:sz w:val="48"/>
        </w:rPr>
        <w:t>Media Viewing Policy</w:t>
      </w:r>
    </w:p>
    <w:p>
      <w:pPr>
        <w:spacing w:after="200" w:line="324" w:lineRule="auto"/>
        <w:pBdr>
          <w:bottom w:val="single" w:sz="4" w:space="4" w:color="E2DDD6"/>
        </w:pBdr>
      </w:pPr>
      <w:r>
        <w:rPr>
          <w:rFonts w:ascii="Arial" w:hAnsi="Arial" w:eastAsia="Arial"/>
          <w:b w:val="0"/>
          <w:i w:val="0"/>
          <w:color w:val="5B5753"/>
          <w:sz w:val="21"/>
        </w:rPr>
        <w:t>Guidelines for age-appropriate, educational and limited use of screen media within our programs.</w:t>
      </w:r>
    </w:p>
    <w:p>
      <w:pPr>
        <w:spacing w:after="200" w:line="324" w:lineRule="auto"/>
      </w:pPr>
      <w:r>
        <w:rPr>
          <w:rFonts w:ascii="Arial" w:hAnsi="Arial" w:eastAsia="Arial"/>
          <w:b w:val="0"/>
          <w:i w:val="0"/>
          <w:color w:val="1F1F1F"/>
          <w:sz w:val="23"/>
        </w:rPr>
        <w:t>Media can play a role in education, but must be carefully selected to align with our goals and values, and used to complement — never replace — active, hands-on learning.</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Content Guidelines</w:t>
      </w:r>
    </w:p>
    <w:p>
      <w:pPr>
        <w:spacing w:after="120" w:line="324" w:lineRule="auto"/>
      </w:pPr>
      <w:r>
        <w:rPr>
          <w:rFonts w:ascii="Arial" w:hAnsi="Arial" w:eastAsia="Arial"/>
          <w:b/>
          <w:i w:val="0"/>
          <w:color w:val="1F1F1F"/>
          <w:sz w:val="21"/>
        </w:rPr>
        <w:t xml:space="preserve">Age Appropriateness: </w:t>
      </w:r>
      <w:r>
        <w:rPr>
          <w:rFonts w:ascii="Arial" w:hAnsi="Arial" w:eastAsia="Arial"/>
          <w:b w:val="0"/>
          <w:i w:val="0"/>
          <w:color w:val="1F1F1F"/>
          <w:sz w:val="21"/>
        </w:rPr>
        <w:t>Content must suit the age and developmental stage of children, free of inappropriate language, violence, or unsuitable themes.</w:t>
      </w:r>
    </w:p>
    <w:p>
      <w:pPr>
        <w:spacing w:after="120" w:line="324" w:lineRule="auto"/>
      </w:pPr>
      <w:r>
        <w:rPr>
          <w:rFonts w:ascii="Arial" w:hAnsi="Arial" w:eastAsia="Arial"/>
          <w:b/>
          <w:i w:val="0"/>
          <w:color w:val="1F1F1F"/>
          <w:sz w:val="21"/>
        </w:rPr>
        <w:t xml:space="preserve">Educational Value: </w:t>
      </w:r>
      <w:r>
        <w:rPr>
          <w:rFonts w:ascii="Arial" w:hAnsi="Arial" w:eastAsia="Arial"/>
          <w:b w:val="0"/>
          <w:i w:val="0"/>
          <w:color w:val="1F1F1F"/>
          <w:sz w:val="21"/>
        </w:rPr>
        <w:t>Media must have clear educational objectives aligned with our curriculum and supplement hands-on activity, not replace it.</w:t>
      </w:r>
    </w:p>
    <w:p>
      <w:pPr>
        <w:spacing w:after="120" w:line="324" w:lineRule="auto"/>
      </w:pPr>
      <w:r>
        <w:rPr>
          <w:rFonts w:ascii="Arial" w:hAnsi="Arial" w:eastAsia="Arial"/>
          <w:b/>
          <w:i w:val="0"/>
          <w:color w:val="1F1F1F"/>
          <w:sz w:val="21"/>
        </w:rPr>
        <w:t xml:space="preserve">Parental Notice: </w:t>
      </w:r>
      <w:r>
        <w:rPr>
          <w:rFonts w:ascii="Arial" w:hAnsi="Arial" w:eastAsia="Arial"/>
          <w:b w:val="0"/>
          <w:i w:val="0"/>
          <w:color w:val="1F1F1F"/>
          <w:sz w:val="21"/>
        </w:rPr>
        <w:t>Parents are informed in advance of classroom media use, and asked for consent for special events or programs.</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Viewing Procedures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Screen time limit: Up to 30 minutes per day, except for special educational purposes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Supervision: A staff member supervises all viewing at all times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Scheduling: Integrated into a balanced routine — never used to manage behaviour</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Staff Responsibilities</w:t>
      </w:r>
    </w:p>
    <w:p>
      <w:pPr>
        <w:spacing w:after="120" w:line="324" w:lineRule="auto"/>
      </w:pPr>
      <w:r>
        <w:rPr>
          <w:rFonts w:ascii="Arial" w:hAnsi="Arial" w:eastAsia="Arial"/>
          <w:b w:val="0"/>
          <w:i w:val="0"/>
          <w:color w:val="1F1F1F"/>
          <w:sz w:val="21"/>
        </w:rPr>
        <w:t>Staff are trained in selecting suitable content, managing screen time, and integrating media into the curriculum. All content is reviewed before being shown for educational value, curriculum relevance, and age-appropriateness, and is never used as a primary means of behaviour management.</w:t>
      </w:r>
    </w:p>
    <w:p>
      <w:pPr>
        <w:spacing w:after="40" w:line="324" w:lineRule="auto"/>
      </w:pPr>
      <w:r>
        <w:rPr>
          <w:rFonts w:ascii="Arial" w:hAnsi="Arial" w:eastAsia="Arial"/>
          <w:b w:val="0"/>
          <w:i w:val="0"/>
          <w:color w:val="E8622A"/>
          <w:sz w:val="15"/>
        </w:rPr>
        <w:t>PRIVACY</w:t>
      </w:r>
    </w:p>
    <w:p>
      <w:pPr>
        <w:spacing w:after="40" w:line="324" w:lineRule="auto"/>
      </w:pPr>
      <w:r>
        <w:rPr>
          <w:rFonts w:ascii="Georgia" w:hAnsi="Georgia" w:eastAsia="Georgia"/>
          <w:b w:val="0"/>
          <w:i/>
          <w:color w:val="1F1F1F"/>
          <w:sz w:val="24"/>
        </w:rPr>
        <w:t>"Permission is obtained before any media featuring a child is shared."</w:t>
      </w:r>
    </w:p>
    <w:p>
      <w:pPr>
        <w:spacing w:after="120" w:line="324" w:lineRule="auto"/>
      </w:pPr>
      <w:r>
        <w:rPr>
          <w:rFonts w:ascii="Arial" w:hAnsi="Arial" w:eastAsia="Arial"/>
          <w:b w:val="0"/>
          <w:i w:val="0"/>
          <w:color w:val="1F1F1F"/>
          <w:sz w:val="21"/>
        </w:rPr>
        <w:t>Any media involving personal data — photos or video of children — is handled under our Media and Photography Consent Policy.</w:t>
      </w:r>
    </w:p>
    <w:p>
      <w:pPr>
        <w:keepNext/>
        <w:spacing w:after="0" w:line="324" w:lineRule="auto"/>
      </w:pPr>
      <w:r>
        <w:rPr>
          <w:rFonts w:ascii="Arial" w:hAnsi="Arial" w:eastAsia="Arial"/>
          <w:b w:val="0"/>
          <w:i w:val="0"/>
          <w:color w:val="E8622A"/>
          <w:sz w:val="16"/>
        </w:rPr>
        <w:t>04</w:t>
      </w:r>
    </w:p>
    <w:p>
      <w:pPr>
        <w:keepNext/>
        <w:spacing w:after="120" w:line="324" w:lineRule="auto"/>
        <w:pBdr>
          <w:bottom w:val="single" w:sz="4" w:space="4" w:color="E2DDD6"/>
        </w:pBdr>
      </w:pPr>
      <w:r>
        <w:rPr>
          <w:rFonts w:ascii="Georgia" w:hAnsi="Georgia" w:eastAsia="Georgia"/>
          <w:b w:val="0"/>
          <w:i w:val="0"/>
          <w:color w:val="1F1F1F"/>
          <w:sz w:val="32"/>
        </w:rPr>
        <w:t>Parent Communication</w:t>
      </w:r>
    </w:p>
    <w:p>
      <w:pPr>
        <w:spacing w:after="120" w:line="324" w:lineRule="auto"/>
      </w:pPr>
      <w:r>
        <w:rPr>
          <w:rFonts w:ascii="Arial" w:hAnsi="Arial" w:eastAsia="Arial"/>
          <w:b w:val="0"/>
          <w:i w:val="0"/>
          <w:color w:val="1F1F1F"/>
          <w:sz w:val="21"/>
        </w:rPr>
        <w:t>Parents are notified in advance of media planned for special events or themed activities, with an opportunity to review content and share feedback. We welcome suggestions on suitable content for their child.</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Board of Governors</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Viewing Policy</dc:title>
  <dc:subject>POL-006 v1.0</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