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1.0</w:t>
            </w:r>
          </w:p>
        </w:tc>
        <w:tc>
          <w:tcPr>
            <w:tcW w:type="dxa" w:w="1960"/>
          </w:tcPr>
          <w:p>
            <w:r>
              <w:rPr>
                <w:rFonts w:ascii="Arial" w:hAnsi="Arial" w:eastAsia="Arial"/>
                <w:b w:val="0"/>
                <w:i w:val="0"/>
                <w:color w:val="1F1F1F"/>
                <w:sz w:val="18"/>
              </w:rPr>
              <w:t>POL-007</w:t>
            </w:r>
          </w:p>
        </w:tc>
        <w:tc>
          <w:tcPr>
            <w:tcW w:type="dxa" w:w="1960"/>
          </w:tcPr>
          <w:p>
            <w:r>
              <w:rPr>
                <w:rFonts w:ascii="Arial" w:hAnsi="Arial" w:eastAsia="Arial"/>
                <w:b w:val="0"/>
                <w:i w:val="0"/>
                <w:color w:val="1F1F1F"/>
                <w:sz w:val="18"/>
              </w:rPr>
              <w:t>1 Sep 2026</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E8622A"/>
          <w:sz w:val="16"/>
        </w:rPr>
        <w:t>POLICY DOCUMENT · EDITABLE COPY OF THE PUBLISHED PDF</w:t>
      </w:r>
    </w:p>
    <w:p>
      <w:pPr>
        <w:spacing w:after="80" w:line="324" w:lineRule="auto"/>
      </w:pPr>
      <w:r>
        <w:rPr>
          <w:rFonts w:ascii="Georgia" w:hAnsi="Georgia" w:eastAsia="Georgia"/>
          <w:b w:val="0"/>
          <w:i w:val="0"/>
          <w:color w:val="1F1F1F"/>
          <w:sz w:val="48"/>
        </w:rPr>
        <w:t>Media &amp; Photography Consent Policy</w:t>
      </w:r>
    </w:p>
    <w:p>
      <w:pPr>
        <w:spacing w:after="200" w:line="324" w:lineRule="auto"/>
        <w:pBdr>
          <w:bottom w:val="single" w:sz="4" w:space="4" w:color="E2DDD6"/>
        </w:pBdr>
      </w:pPr>
      <w:r>
        <w:rPr>
          <w:rFonts w:ascii="Arial" w:hAnsi="Arial" w:eastAsia="Arial"/>
          <w:b w:val="0"/>
          <w:i w:val="0"/>
          <w:color w:val="5B5753"/>
          <w:sz w:val="21"/>
        </w:rPr>
        <w:t>How we obtain, respect and act on parental consent for photography and video of children.</w:t>
      </w:r>
    </w:p>
    <w:p>
      <w:pPr>
        <w:spacing w:after="200" w:line="324" w:lineRule="auto"/>
      </w:pPr>
      <w:r>
        <w:rPr>
          <w:rFonts w:ascii="Arial" w:hAnsi="Arial" w:eastAsia="Arial"/>
          <w:b w:val="0"/>
          <w:i w:val="0"/>
          <w:color w:val="1F1F1F"/>
          <w:sz w:val="23"/>
        </w:rPr>
        <w:t>Media and photography are valuable tools for documenting development, celebrating achievement, and sharing our activities with families. This policy sets out how consent is obtained and how media is used and protected.</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Consent Process</w:t>
      </w:r>
    </w:p>
    <w:p>
      <w:pPr>
        <w:spacing w:after="120" w:line="324" w:lineRule="auto"/>
      </w:pPr>
      <w:r>
        <w:rPr>
          <w:rFonts w:ascii="Arial" w:hAnsi="Arial" w:eastAsia="Arial"/>
          <w:b w:val="0"/>
          <w:i w:val="0"/>
          <w:color w:val="1F1F1F"/>
          <w:sz w:val="21"/>
        </w:rPr>
        <w:t>Upon enrollment, parents or guardians receive a Media and Photography Consent Form covering photographs, videos and other media featuring their child. Consent options are:</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Full Consent: Newsletters, social media, and promotional materials</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Limited Consent: Classroom displays only; excludes social media and external publication</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No Consent: No use of the child's photographs or videos in any context</w:t>
      </w:r>
    </w:p>
    <w:p>
      <w:pPr>
        <w:spacing w:after="120" w:line="324" w:lineRule="auto"/>
      </w:pPr>
      <w:r>
        <w:rPr>
          <w:rFonts w:ascii="Arial" w:hAnsi="Arial" w:eastAsia="Arial"/>
          <w:b w:val="0"/>
          <w:i w:val="0"/>
          <w:color w:val="1F1F1F"/>
          <w:sz w:val="21"/>
        </w:rPr>
        <w:t>Parents may update their consent preference at any time by contacting the School Director; changes are recorded and implemented promptly.</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Use of Media</w:t>
      </w:r>
    </w:p>
    <w:p>
      <w:pPr>
        <w:spacing w:after="120" w:line="324" w:lineRule="auto"/>
      </w:pPr>
      <w:r>
        <w:rPr>
          <w:rFonts w:ascii="Arial" w:hAnsi="Arial" w:eastAsia="Arial"/>
          <w:b/>
          <w:i w:val="0"/>
          <w:color w:val="1F1F1F"/>
          <w:sz w:val="21"/>
        </w:rPr>
        <w:t xml:space="preserve">Educational Purposes: </w:t>
      </w:r>
      <w:r>
        <w:rPr>
          <w:rFonts w:ascii="Arial" w:hAnsi="Arial" w:eastAsia="Arial"/>
          <w:b w:val="0"/>
          <w:i w:val="0"/>
          <w:color w:val="1F1F1F"/>
          <w:sz w:val="21"/>
        </w:rPr>
        <w:t>Documenting activities and children's work, and supporting individual learning plans.</w:t>
      </w:r>
    </w:p>
    <w:p>
      <w:pPr>
        <w:spacing w:after="120" w:line="324" w:lineRule="auto"/>
      </w:pPr>
      <w:r>
        <w:rPr>
          <w:rFonts w:ascii="Arial" w:hAnsi="Arial" w:eastAsia="Arial"/>
          <w:b/>
          <w:i w:val="0"/>
          <w:color w:val="1F1F1F"/>
          <w:sz w:val="21"/>
        </w:rPr>
        <w:t xml:space="preserve">Internal Communication: </w:t>
      </w:r>
      <w:r>
        <w:rPr>
          <w:rFonts w:ascii="Arial" w:hAnsi="Arial" w:eastAsia="Arial"/>
          <w:b w:val="0"/>
          <w:i w:val="0"/>
          <w:color w:val="1F1F1F"/>
          <w:sz w:val="21"/>
        </w:rPr>
        <w:t>Newsletters, bulletin boards, and staff meetings.</w:t>
      </w:r>
    </w:p>
    <w:p>
      <w:pPr>
        <w:spacing w:after="120" w:line="324" w:lineRule="auto"/>
      </w:pPr>
      <w:r>
        <w:rPr>
          <w:rFonts w:ascii="Arial" w:hAnsi="Arial" w:eastAsia="Arial"/>
          <w:b/>
          <w:i w:val="0"/>
          <w:color w:val="1F1F1F"/>
          <w:sz w:val="21"/>
        </w:rPr>
        <w:t xml:space="preserve">External Communication: </w:t>
      </w:r>
      <w:r>
        <w:rPr>
          <w:rFonts w:ascii="Arial" w:hAnsi="Arial" w:eastAsia="Arial"/>
          <w:b w:val="0"/>
          <w:i w:val="0"/>
          <w:color w:val="1F1F1F"/>
          <w:sz w:val="21"/>
        </w:rPr>
        <w:t>The school website, social media, and promotional materials — always in accordance with consent preferences.</w:t>
      </w:r>
    </w:p>
    <w:p>
      <w:pPr>
        <w:spacing w:after="120" w:line="324" w:lineRule="auto"/>
      </w:pPr>
      <w:r>
        <w:rPr>
          <w:rFonts w:ascii="Arial" w:hAnsi="Arial" w:eastAsia="Arial"/>
          <w:b/>
          <w:i w:val="0"/>
          <w:color w:val="1F1F1F"/>
          <w:sz w:val="21"/>
        </w:rPr>
        <w:t xml:space="preserve">Special Events: </w:t>
      </w:r>
      <w:r>
        <w:rPr>
          <w:rFonts w:ascii="Arial" w:hAnsi="Arial" w:eastAsia="Arial"/>
          <w:b w:val="0"/>
          <w:i w:val="0"/>
          <w:color w:val="1F1F1F"/>
          <w:sz w:val="21"/>
        </w:rPr>
        <w:t>Performances or field trips, as outlined in the consent form.</w:t>
      </w:r>
    </w:p>
    <w:p>
      <w:pPr>
        <w:spacing w:after="40" w:line="324" w:lineRule="auto"/>
      </w:pPr>
      <w:r>
        <w:rPr>
          <w:rFonts w:ascii="Arial" w:hAnsi="Arial" w:eastAsia="Arial"/>
          <w:b w:val="0"/>
          <w:i w:val="0"/>
          <w:color w:val="E8622A"/>
          <w:sz w:val="15"/>
        </w:rPr>
        <w:t>LEGAL REQUIREMENT</w:t>
      </w:r>
    </w:p>
    <w:p>
      <w:pPr>
        <w:spacing w:after="40" w:line="324" w:lineRule="auto"/>
      </w:pPr>
      <w:r>
        <w:rPr>
          <w:rFonts w:ascii="Georgia" w:hAnsi="Georgia" w:eastAsia="Georgia"/>
          <w:b w:val="0"/>
          <w:i/>
          <w:color w:val="1F1F1F"/>
          <w:sz w:val="24"/>
        </w:rPr>
        <w:t>"Full names are never used alongside media without explicit consent."</w:t>
      </w:r>
    </w:p>
    <w:p>
      <w:pPr>
        <w:spacing w:after="120" w:line="324" w:lineRule="auto"/>
      </w:pPr>
      <w:r>
        <w:rPr>
          <w:rFonts w:ascii="Arial" w:hAnsi="Arial" w:eastAsia="Arial"/>
          <w:b w:val="0"/>
          <w:i w:val="0"/>
          <w:color w:val="1F1F1F"/>
          <w:sz w:val="21"/>
        </w:rPr>
        <w:t>Digital media is stored on secure, password-protected systems; physical media is kept in locked storage and accessed only by authorised personnel.</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Handling Concerns</w:t>
      </w:r>
    </w:p>
    <w:p>
      <w:pPr>
        <w:spacing w:after="120" w:line="324" w:lineRule="auto"/>
      </w:pPr>
      <w:r>
        <w:rPr>
          <w:rFonts w:ascii="Arial" w:hAnsi="Arial" w:eastAsia="Arial"/>
          <w:b w:val="0"/>
          <w:i w:val="0"/>
          <w:color w:val="1F1F1F"/>
          <w:sz w:val="21"/>
        </w:rPr>
        <w:t>Parents who have concerns about media use, or who wish to withdraw consent, may contact the School Director. Concerns are addressed promptly and adjustments made to reflect updated preferences. This policy is reviewed annually and significant changes are communicated to families, with updated consent forms provided as needed.</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Board of Governors</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&amp; Photography Consent Policy</dc:title>
  <dc:subject>POL-007 v1.0</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