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60"/>
        <w:gridCol w:w="1960"/>
        <w:gridCol w:w="1960"/>
        <w:gridCol w:w="1960"/>
        <w:gridCol w:w="1960"/>
      </w:tblGrid>
      <w:tr>
        <w:tc>
          <w:tcPr>
            <w:tcW w:type="dxa" w:w="1960"/>
          </w:tcPr>
          <w:p>
            <w:r>
              <w:rPr>
                <w:rFonts w:ascii="Arial" w:hAnsi="Arial" w:eastAsia="Arial"/>
                <w:b w:val="0"/>
                <w:i w:val="0"/>
                <w:color w:val="5B5753"/>
                <w:sz w:val="14"/>
              </w:rPr>
              <w:t>VERSION</w:t>
            </w:r>
          </w:p>
        </w:tc>
        <w:tc>
          <w:tcPr>
            <w:tcW w:type="dxa" w:w="1960"/>
          </w:tcPr>
          <w:p>
            <w:r>
              <w:rPr>
                <w:rFonts w:ascii="Arial" w:hAnsi="Arial" w:eastAsia="Arial"/>
                <w:b w:val="0"/>
                <w:i w:val="0"/>
                <w:color w:val="5B5753"/>
                <w:sz w:val="14"/>
              </w:rPr>
              <w:t>DOC ID</w:t>
            </w:r>
          </w:p>
        </w:tc>
        <w:tc>
          <w:tcPr>
            <w:tcW w:type="dxa" w:w="1960"/>
          </w:tcPr>
          <w:p>
            <w:r>
              <w:rPr>
                <w:rFonts w:ascii="Arial" w:hAnsi="Arial" w:eastAsia="Arial"/>
                <w:b w:val="0"/>
                <w:i w:val="0"/>
                <w:color w:val="5B5753"/>
                <w:sz w:val="14"/>
              </w:rPr>
              <w:t>EFFECTIVE</w:t>
            </w:r>
          </w:p>
        </w:tc>
        <w:tc>
          <w:tcPr>
            <w:tcW w:type="dxa" w:w="1960"/>
          </w:tcPr>
          <w:p>
            <w:r>
              <w:rPr>
                <w:rFonts w:ascii="Arial" w:hAnsi="Arial" w:eastAsia="Arial"/>
                <w:b w:val="0"/>
                <w:i w:val="0"/>
                <w:color w:val="5B5753"/>
                <w:sz w:val="14"/>
              </w:rPr>
              <w:t>REVIEW</w:t>
            </w:r>
          </w:p>
        </w:tc>
        <w:tc>
          <w:tcPr>
            <w:tcW w:type="dxa" w:w="1960"/>
          </w:tcPr>
          <w:p>
            <w:r>
              <w:rPr>
                <w:rFonts w:ascii="Arial" w:hAnsi="Arial" w:eastAsia="Arial"/>
                <w:b w:val="0"/>
                <w:i w:val="0"/>
                <w:color w:val="5B5753"/>
                <w:sz w:val="14"/>
              </w:rPr>
              <w:t>APPROVED BY</w:t>
            </w:r>
          </w:p>
        </w:tc>
      </w:tr>
      <w:tr>
        <w:tc>
          <w:tcPr>
            <w:tcW w:type="dxa" w:w="1960"/>
          </w:tcPr>
          <w:p>
            <w:r>
              <w:rPr>
                <w:rFonts w:ascii="Arial" w:hAnsi="Arial" w:eastAsia="Arial"/>
                <w:b w:val="0"/>
                <w:i w:val="0"/>
                <w:color w:val="1F1F1F"/>
                <w:sz w:val="18"/>
              </w:rPr>
              <w:t>1.0</w:t>
            </w:r>
          </w:p>
        </w:tc>
        <w:tc>
          <w:tcPr>
            <w:tcW w:type="dxa" w:w="1960"/>
          </w:tcPr>
          <w:p>
            <w:r>
              <w:rPr>
                <w:rFonts w:ascii="Arial" w:hAnsi="Arial" w:eastAsia="Arial"/>
                <w:b w:val="0"/>
                <w:i w:val="0"/>
                <w:color w:val="1F1F1F"/>
                <w:sz w:val="18"/>
              </w:rPr>
              <w:t>POL-008</w:t>
            </w:r>
          </w:p>
        </w:tc>
        <w:tc>
          <w:tcPr>
            <w:tcW w:type="dxa" w:w="1960"/>
          </w:tcPr>
          <w:p>
            <w:r>
              <w:rPr>
                <w:rFonts w:ascii="Arial" w:hAnsi="Arial" w:eastAsia="Arial"/>
                <w:b w:val="0"/>
                <w:i w:val="0"/>
                <w:color w:val="1F1F1F"/>
                <w:sz w:val="18"/>
              </w:rPr>
              <w:t>1 Sep 2026</w:t>
            </w:r>
          </w:p>
        </w:tc>
        <w:tc>
          <w:tcPr>
            <w:tcW w:type="dxa" w:w="1960"/>
          </w:tcPr>
          <w:p>
            <w:r>
              <w:rPr>
                <w:rFonts w:ascii="Arial" w:hAnsi="Arial" w:eastAsia="Arial"/>
                <w:b w:val="0"/>
                <w:i w:val="0"/>
                <w:color w:val="1F1F1F"/>
                <w:sz w:val="18"/>
              </w:rPr>
              <w:t>1 Sep 2027</w:t>
            </w:r>
          </w:p>
        </w:tc>
        <w:tc>
          <w:tcPr>
            <w:tcW w:type="dxa" w:w="1960"/>
          </w:tcPr>
          <w:p>
            <w:r>
              <w:rPr>
                <w:rFonts w:ascii="Arial" w:hAnsi="Arial" w:eastAsia="Arial"/>
                <w:b w:val="0"/>
                <w:i w:val="0"/>
                <w:color w:val="1F1F1F"/>
                <w:sz w:val="18"/>
              </w:rPr>
              <w:t>Board of Governors</w:t>
            </w:r>
          </w:p>
        </w:tc>
      </w:tr>
    </w:tbl>
    <w:p>
      <w:pPr>
        <w:spacing w:after="40" w:line="324" w:lineRule="auto"/>
      </w:pPr>
      <w:r>
        <w:rPr>
          <w:rFonts w:ascii="Arial" w:hAnsi="Arial" w:eastAsia="Arial"/>
          <w:b w:val="0"/>
          <w:i w:val="0"/>
          <w:color w:val="E8622A"/>
          <w:sz w:val="16"/>
        </w:rPr>
        <w:t>POLICY DOCUMENT · EDITABLE COPY OF THE PUBLISHED PDF</w:t>
      </w:r>
    </w:p>
    <w:p>
      <w:pPr>
        <w:spacing w:after="80" w:line="324" w:lineRule="auto"/>
      </w:pPr>
      <w:r>
        <w:rPr>
          <w:rFonts w:ascii="Georgia" w:hAnsi="Georgia" w:eastAsia="Georgia"/>
          <w:b w:val="0"/>
          <w:i w:val="0"/>
          <w:color w:val="1F1F1F"/>
          <w:sz w:val="48"/>
        </w:rPr>
        <w:t>Medicine Policy</w:t>
      </w:r>
    </w:p>
    <w:p>
      <w:pPr>
        <w:spacing w:after="200" w:line="324" w:lineRule="auto"/>
        <w:pBdr>
          <w:bottom w:val="single" w:sz="4" w:space="4" w:color="E2DDD6"/>
        </w:pBdr>
      </w:pPr>
      <w:r>
        <w:rPr>
          <w:rFonts w:ascii="Arial" w:hAnsi="Arial" w:eastAsia="Arial"/>
          <w:b w:val="0"/>
          <w:i w:val="0"/>
          <w:color w:val="5B5753"/>
          <w:sz w:val="21"/>
        </w:rPr>
        <w:t>Procedures for the safe authorisation, storage, administration and documentation of medication.</w:t>
      </w:r>
    </w:p>
    <w:p>
      <w:pPr>
        <w:spacing w:after="200" w:line="324" w:lineRule="auto"/>
      </w:pPr>
      <w:r>
        <w:rPr>
          <w:rFonts w:ascii="Arial" w:hAnsi="Arial" w:eastAsia="Arial"/>
          <w:b w:val="0"/>
          <w:i w:val="0"/>
          <w:color w:val="1F1F1F"/>
          <w:sz w:val="23"/>
        </w:rPr>
        <w:t>Tiny Explorers prioritises the health and safety of every child in our care. This policy sets out how medication is authorised, stored, administered and documented while a child is at school.</w:t>
      </w:r>
    </w:p>
    <w:p>
      <w:pPr>
        <w:keepNext/>
        <w:spacing w:after="0" w:line="324" w:lineRule="auto"/>
      </w:pPr>
      <w:r>
        <w:rPr>
          <w:rFonts w:ascii="Arial" w:hAnsi="Arial" w:eastAsia="Arial"/>
          <w:b w:val="0"/>
          <w:i w:val="0"/>
          <w:color w:val="E8622A"/>
          <w:sz w:val="16"/>
        </w:rPr>
        <w:t>01</w:t>
      </w:r>
    </w:p>
    <w:p>
      <w:pPr>
        <w:keepNext/>
        <w:spacing w:after="120" w:line="324" w:lineRule="auto"/>
        <w:pBdr>
          <w:bottom w:val="single" w:sz="4" w:space="4" w:color="E2DDD6"/>
        </w:pBdr>
      </w:pPr>
      <w:r>
        <w:rPr>
          <w:rFonts w:ascii="Georgia" w:hAnsi="Georgia" w:eastAsia="Georgia"/>
          <w:b w:val="0"/>
          <w:i w:val="0"/>
          <w:color w:val="1F1F1F"/>
          <w:sz w:val="32"/>
        </w:rPr>
        <w:t>General Guidelines</w:t>
      </w:r>
    </w:p>
    <w:p>
      <w:pPr>
        <w:spacing w:after="120" w:line="324" w:lineRule="auto"/>
      </w:pPr>
      <w:r>
        <w:rPr>
          <w:rFonts w:ascii="Arial" w:hAnsi="Arial" w:eastAsia="Arial"/>
          <w:b/>
          <w:i w:val="0"/>
          <w:color w:val="1F1F1F"/>
          <w:sz w:val="21"/>
        </w:rPr>
        <w:t xml:space="preserve">Authorisation: </w:t>
      </w:r>
      <w:r>
        <w:rPr>
          <w:rFonts w:ascii="Arial" w:hAnsi="Arial" w:eastAsia="Arial"/>
          <w:b w:val="0"/>
          <w:i w:val="0"/>
          <w:color w:val="1F1F1F"/>
          <w:sz w:val="21"/>
        </w:rPr>
        <w:t>Medication is administered only with a signed Medication Authorization Form from a parent or guardian, detailing dosage, timing and specific instructions.</w:t>
      </w:r>
    </w:p>
    <w:p>
      <w:pPr>
        <w:spacing w:after="120" w:line="324" w:lineRule="auto"/>
      </w:pPr>
      <w:r>
        <w:rPr>
          <w:rFonts w:ascii="Arial" w:hAnsi="Arial" w:eastAsia="Arial"/>
          <w:b/>
          <w:i w:val="0"/>
          <w:color w:val="1F1F1F"/>
          <w:sz w:val="21"/>
        </w:rPr>
        <w:t xml:space="preserve">Prescription Medications: </w:t>
      </w:r>
      <w:r>
        <w:rPr>
          <w:rFonts w:ascii="Arial" w:hAnsi="Arial" w:eastAsia="Arial"/>
          <w:b w:val="0"/>
          <w:i w:val="0"/>
          <w:color w:val="1F1F1F"/>
          <w:sz w:val="21"/>
        </w:rPr>
        <w:t>Must be in the original, clearly labelled container showing the child's name, dosage, prescriber, pharmacy, fill date and expiration.</w:t>
      </w:r>
    </w:p>
    <w:p>
      <w:pPr>
        <w:spacing w:after="120" w:line="324" w:lineRule="auto"/>
      </w:pPr>
      <w:r>
        <w:rPr>
          <w:rFonts w:ascii="Arial" w:hAnsi="Arial" w:eastAsia="Arial"/>
          <w:b/>
          <w:i w:val="0"/>
          <w:color w:val="1F1F1F"/>
          <w:sz w:val="21"/>
        </w:rPr>
        <w:t xml:space="preserve">Over-the-Counter Medications: </w:t>
      </w:r>
      <w:r>
        <w:rPr>
          <w:rFonts w:ascii="Arial" w:hAnsi="Arial" w:eastAsia="Arial"/>
          <w:b w:val="0"/>
          <w:i w:val="0"/>
          <w:color w:val="1F1F1F"/>
          <w:sz w:val="21"/>
        </w:rPr>
        <w:t>Also require a Medication Authorization Form and original packaging labelled with the child's name.</w:t>
      </w:r>
    </w:p>
    <w:p>
      <w:pPr>
        <w:spacing w:after="120" w:line="324" w:lineRule="auto"/>
      </w:pPr>
      <w:r>
        <w:rPr>
          <w:rFonts w:ascii="Arial" w:hAnsi="Arial" w:eastAsia="Arial"/>
          <w:b/>
          <w:i w:val="0"/>
          <w:color w:val="1F1F1F"/>
          <w:sz w:val="21"/>
        </w:rPr>
        <w:t xml:space="preserve">Storage: </w:t>
      </w:r>
      <w:r>
        <w:rPr>
          <w:rFonts w:ascii="Arial" w:hAnsi="Arial" w:eastAsia="Arial"/>
          <w:b w:val="0"/>
          <w:i w:val="0"/>
          <w:color w:val="1F1F1F"/>
          <w:sz w:val="21"/>
        </w:rPr>
        <w:t>Kept securely in a locked area inaccessible to children; refrigerated medications are stored in a dedicated refrigerator.</w:t>
      </w:r>
    </w:p>
    <w:p>
      <w:pPr>
        <w:keepNext/>
        <w:spacing w:after="0" w:line="324" w:lineRule="auto"/>
      </w:pPr>
      <w:r>
        <w:rPr>
          <w:rFonts w:ascii="Arial" w:hAnsi="Arial" w:eastAsia="Arial"/>
          <w:b w:val="0"/>
          <w:i w:val="0"/>
          <w:color w:val="E8622A"/>
          <w:sz w:val="16"/>
        </w:rPr>
        <w:t>02</w:t>
      </w:r>
    </w:p>
    <w:p>
      <w:pPr>
        <w:keepNext/>
        <w:spacing w:after="120" w:line="324" w:lineRule="auto"/>
        <w:pBdr>
          <w:bottom w:val="single" w:sz="4" w:space="4" w:color="E2DDD6"/>
        </w:pBdr>
      </w:pPr>
      <w:r>
        <w:rPr>
          <w:rFonts w:ascii="Georgia" w:hAnsi="Georgia" w:eastAsia="Georgia"/>
          <w:b w:val="0"/>
          <w:i w:val="0"/>
          <w:color w:val="1F1F1F"/>
          <w:sz w:val="32"/>
        </w:rPr>
        <w:t>Administration</w:t>
      </w:r>
    </w:p>
    <w:p>
      <w:pPr>
        <w:spacing w:after="120" w:line="324" w:lineRule="auto"/>
      </w:pPr>
      <w:r>
        <w:rPr>
          <w:rFonts w:ascii="Arial" w:hAnsi="Arial" w:eastAsia="Arial"/>
          <w:b w:val="0"/>
          <w:i w:val="0"/>
          <w:color w:val="1F1F1F"/>
          <w:sz w:val="21"/>
        </w:rPr>
        <w:t>01 Designated staff only: Only staff trained in medication administration may give medication, following the authorization form and label.</w:t>
      </w:r>
    </w:p>
    <w:p>
      <w:pPr>
        <w:spacing w:after="120" w:line="324" w:lineRule="auto"/>
      </w:pPr>
      <w:r>
        <w:rPr>
          <w:rFonts w:ascii="Arial" w:hAnsi="Arial" w:eastAsia="Arial"/>
          <w:b w:val="0"/>
          <w:i w:val="0"/>
          <w:color w:val="1F1F1F"/>
          <w:sz w:val="21"/>
        </w:rPr>
        <w:t>02 Documentation: Every administration is logged with date, time, dosage and administering staff member; parents may access this log on request.</w:t>
      </w:r>
    </w:p>
    <w:p>
      <w:pPr>
        <w:spacing w:after="120" w:line="324" w:lineRule="auto"/>
      </w:pPr>
      <w:r>
        <w:rPr>
          <w:rFonts w:ascii="Arial" w:hAnsi="Arial" w:eastAsia="Arial"/>
          <w:b w:val="0"/>
          <w:i w:val="0"/>
          <w:color w:val="1F1F1F"/>
          <w:sz w:val="21"/>
        </w:rPr>
        <w:t>03 Timing: Medication is given at the specified times; any discrepancy prompts immediate contact with parents.</w:t>
      </w:r>
    </w:p>
    <w:p>
      <w:pPr>
        <w:spacing w:after="120" w:line="324" w:lineRule="auto"/>
      </w:pPr>
      <w:r>
        <w:rPr>
          <w:rFonts w:ascii="Arial" w:hAnsi="Arial" w:eastAsia="Arial"/>
          <w:b w:val="0"/>
          <w:i w:val="0"/>
          <w:color w:val="1F1F1F"/>
          <w:sz w:val="21"/>
        </w:rPr>
        <w:t>04 Missed doses: Parents are notified and the missed dose is documented; staff never administer a double dose to compensate.</w:t>
      </w:r>
    </w:p>
    <w:p>
      <w:pPr>
        <w:keepNext/>
        <w:spacing w:after="0" w:line="324" w:lineRule="auto"/>
      </w:pPr>
      <w:r>
        <w:rPr>
          <w:rFonts w:ascii="Arial" w:hAnsi="Arial" w:eastAsia="Arial"/>
          <w:b w:val="0"/>
          <w:i w:val="0"/>
          <w:color w:val="E8622A"/>
          <w:sz w:val="16"/>
        </w:rPr>
        <w:t>03</w:t>
      </w:r>
    </w:p>
    <w:p>
      <w:pPr>
        <w:keepNext/>
        <w:spacing w:after="120" w:line="324" w:lineRule="auto"/>
        <w:pBdr>
          <w:bottom w:val="single" w:sz="4" w:space="4" w:color="E2DDD6"/>
        </w:pBdr>
      </w:pPr>
      <w:r>
        <w:rPr>
          <w:rFonts w:ascii="Georgia" w:hAnsi="Georgia" w:eastAsia="Georgia"/>
          <w:b w:val="0"/>
          <w:i w:val="0"/>
          <w:color w:val="1F1F1F"/>
          <w:sz w:val="32"/>
        </w:rPr>
        <w:t>Emergency Medications</w:t>
      </w:r>
    </w:p>
    <w:p>
      <w:pPr>
        <w:spacing w:after="40" w:line="324" w:lineRule="auto"/>
      </w:pPr>
      <w:r>
        <w:rPr>
          <w:rFonts w:ascii="Arial" w:hAnsi="Arial" w:eastAsia="Arial"/>
          <w:b w:val="0"/>
          <w:i w:val="0"/>
          <w:color w:val="E8622A"/>
          <w:sz w:val="15"/>
        </w:rPr>
        <w:t>EMERGENCY MEDICATIONS</w:t>
      </w:r>
    </w:p>
    <w:p>
      <w:pPr>
        <w:spacing w:after="40" w:line="324" w:lineRule="auto"/>
      </w:pPr>
      <w:r>
        <w:rPr>
          <w:rFonts w:ascii="Georgia" w:hAnsi="Georgia" w:eastAsia="Georgia"/>
          <w:b w:val="0"/>
          <w:i/>
          <w:color w:val="1F1F1F"/>
          <w:sz w:val="24"/>
        </w:rPr>
        <w:t>"EpiPens and inhalers are kept accessible but secure."</w:t>
      </w:r>
    </w:p>
    <w:p>
      <w:pPr>
        <w:spacing w:after="120" w:line="324" w:lineRule="auto"/>
      </w:pPr>
      <w:r>
        <w:rPr>
          <w:rFonts w:ascii="Arial" w:hAnsi="Arial" w:eastAsia="Arial"/>
          <w:b w:val="0"/>
          <w:i w:val="0"/>
          <w:color w:val="1F1F1F"/>
          <w:sz w:val="21"/>
        </w:rPr>
        <w:t>Staff are trained to administer emergency medication promptly. Children with chronic conditions have an individualized care plan developed with parents and their healthcare provider.</w:t>
      </w:r>
    </w:p>
    <w:p>
      <w:pPr>
        <w:keepNext/>
        <w:spacing w:after="0" w:line="324" w:lineRule="auto"/>
      </w:pPr>
      <w:r>
        <w:rPr>
          <w:rFonts w:ascii="Arial" w:hAnsi="Arial" w:eastAsia="Arial"/>
          <w:b w:val="0"/>
          <w:i w:val="0"/>
          <w:color w:val="E8622A"/>
          <w:sz w:val="16"/>
        </w:rPr>
        <w:t>04</w:t>
      </w:r>
    </w:p>
    <w:p>
      <w:pPr>
        <w:keepNext/>
        <w:spacing w:after="120" w:line="324" w:lineRule="auto"/>
        <w:pBdr>
          <w:bottom w:val="single" w:sz="4" w:space="4" w:color="E2DDD6"/>
        </w:pBdr>
      </w:pPr>
      <w:r>
        <w:rPr>
          <w:rFonts w:ascii="Georgia" w:hAnsi="Georgia" w:eastAsia="Georgia"/>
          <w:b w:val="0"/>
          <w:i w:val="0"/>
          <w:color w:val="1F1F1F"/>
          <w:sz w:val="32"/>
        </w:rPr>
        <w:t>Parent Responsibilities</w:t>
      </w:r>
    </w:p>
    <w:p>
      <w:pPr>
        <w:spacing w:after="120" w:line="324" w:lineRule="auto"/>
      </w:pPr>
      <w:r>
        <w:rPr>
          <w:rFonts w:ascii="Arial" w:hAnsi="Arial" w:eastAsia="Arial"/>
          <w:b w:val="0"/>
          <w:i w:val="0"/>
          <w:color w:val="1F1F1F"/>
          <w:sz w:val="21"/>
        </w:rPr>
        <w:t>Parents provide all medication properly labelled and within expiration, and update the school on any change to medication, dosage, or health condition. Remaining medication must be collected at year-end or when no longer needed; unclaimed medication is disposed of safely.</w:t>
      </w:r>
    </w:p>
    <w:p>
      <w:pPr>
        <w:keepNext/>
        <w:spacing w:after="0" w:line="324" w:lineRule="auto"/>
      </w:pPr>
      <w:r>
        <w:rPr>
          <w:rFonts w:ascii="Arial" w:hAnsi="Arial" w:eastAsia="Arial"/>
          <w:b w:val="0"/>
          <w:i w:val="0"/>
          <w:color w:val="E8622A"/>
          <w:sz w:val="16"/>
        </w:rPr>
        <w:t>05</w:t>
      </w:r>
    </w:p>
    <w:p>
      <w:pPr>
        <w:keepNext/>
        <w:spacing w:after="120" w:line="324" w:lineRule="auto"/>
        <w:pBdr>
          <w:bottom w:val="single" w:sz="4" w:space="4" w:color="E2DDD6"/>
        </w:pBdr>
      </w:pPr>
      <w:r>
        <w:rPr>
          <w:rFonts w:ascii="Georgia" w:hAnsi="Georgia" w:eastAsia="Georgia"/>
          <w:b w:val="0"/>
          <w:i w:val="0"/>
          <w:color w:val="1F1F1F"/>
          <w:sz w:val="32"/>
        </w:rPr>
        <w:t>Exclusions &amp; Liability</w:t>
      </w:r>
    </w:p>
    <w:p>
      <w:pPr>
        <w:spacing w:after="120" w:line="324" w:lineRule="auto"/>
      </w:pPr>
      <w:r>
        <w:rPr>
          <w:rFonts w:ascii="Arial" w:hAnsi="Arial" w:eastAsia="Arial"/>
          <w:b w:val="0"/>
          <w:i w:val="0"/>
          <w:color w:val="1F1F1F"/>
          <w:sz w:val="21"/>
        </w:rPr>
        <w:t>Tiny Explorers may decline to administer a medication deemed unsafe or beyond staff training, notifying parents to discuss alternatives. Herbal remedies, supplements and homeopathic treatments are not administered unless prescribed by a licensed provider with a completed authorization form.</w:t>
      </w:r>
    </w:p>
    <w:p>
      <w:pPr>
        <w:spacing w:after="120" w:line="324" w:lineRule="auto"/>
      </w:pPr>
      <w:r>
        <w:rPr>
          <w:rFonts w:ascii="Arial" w:hAnsi="Arial" w:eastAsia="Arial"/>
          <w:b w:val="0"/>
          <w:i w:val="0"/>
          <w:color w:val="1F1F1F"/>
          <w:sz w:val="21"/>
        </w:rPr>
        <w:t>By submitting an authorization form, parents acknowledge the school's medication administration policies and assume responsibility for outcomes of administration performed as directed.</w:t>
      </w:r>
    </w:p>
    <w:p>
      <w:r>
        <w:br w:type="page"/>
      </w:r>
    </w:p>
    <w:p>
      <w:pPr>
        <w:spacing w:after="120" w:line="324" w:lineRule="auto"/>
      </w:pPr>
      <w:r>
        <w:rPr>
          <w:rFonts w:ascii="Arial" w:hAnsi="Arial" w:eastAsia="Arial"/>
          <w:b w:val="0"/>
          <w:i w:val="0"/>
          <w:color w:val="5B5753"/>
          <w:sz w:val="16"/>
        </w:rP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c>
          <w:tcPr>
            <w:tcW w:type="dxa" w:w="2450"/>
          </w:tcPr>
          <w:p>
            <w:r>
              <w:rPr>
                <w:rFonts w:ascii="Arial" w:hAnsi="Arial" w:eastAsia="Arial"/>
                <w:b w:val="0"/>
                <w:i w:val="0"/>
                <w:color w:val="5B5753"/>
                <w:sz w:val="14"/>
              </w:rPr>
              <w:t>VERSION</w:t>
            </w:r>
          </w:p>
        </w:tc>
        <w:tc>
          <w:tcPr>
            <w:tcW w:type="dxa" w:w="2450"/>
          </w:tcPr>
          <w:p>
            <w:r>
              <w:rPr>
                <w:rFonts w:ascii="Arial" w:hAnsi="Arial" w:eastAsia="Arial"/>
                <w:b w:val="0"/>
                <w:i w:val="0"/>
                <w:color w:val="5B5753"/>
                <w:sz w:val="14"/>
              </w:rPr>
              <w:t>DATE</w:t>
            </w:r>
          </w:p>
        </w:tc>
        <w:tc>
          <w:tcPr>
            <w:tcW w:type="dxa" w:w="2450"/>
          </w:tcPr>
          <w:p>
            <w:r>
              <w:rPr>
                <w:rFonts w:ascii="Arial" w:hAnsi="Arial" w:eastAsia="Arial"/>
                <w:b w:val="0"/>
                <w:i w:val="0"/>
                <w:color w:val="5B5753"/>
                <w:sz w:val="14"/>
              </w:rPr>
              <w:t>SUMMARY</w:t>
            </w:r>
          </w:p>
        </w:tc>
        <w:tc>
          <w:tcPr>
            <w:tcW w:type="dxa" w:w="2450"/>
          </w:tcPr>
          <w:p>
            <w:r>
              <w:rPr>
                <w:rFonts w:ascii="Arial" w:hAnsi="Arial" w:eastAsia="Arial"/>
                <w:b w:val="0"/>
                <w:i w:val="0"/>
                <w:color w:val="5B5753"/>
                <w:sz w:val="14"/>
              </w:rPr>
              <w:t>AUTHOR</w:t>
            </w:r>
          </w:p>
        </w:tc>
      </w:tr>
      <w:tr>
        <w:tc>
          <w:tcPr>
            <w:tcW w:type="dxa" w:w="2450"/>
          </w:tcPr>
          <w:p>
            <w:r>
              <w:rPr>
                <w:rFonts w:ascii="Arial" w:hAnsi="Arial" w:eastAsia="Arial"/>
                <w:b w:val="0"/>
                <w:i w:val="0"/>
                <w:color w:val="1F1F1F"/>
                <w:sz w:val="18"/>
              </w:rPr>
              <w:t>1.0</w:t>
            </w:r>
          </w:p>
        </w:tc>
        <w:tc>
          <w:tcPr>
            <w:tcW w:type="dxa" w:w="2450"/>
          </w:tcPr>
          <w:p>
            <w:r>
              <w:rPr>
                <w:rFonts w:ascii="Arial" w:hAnsi="Arial" w:eastAsia="Arial"/>
                <w:b w:val="0"/>
                <w:i w:val="0"/>
                <w:color w:val="1F1F1F"/>
                <w:sz w:val="18"/>
              </w:rPr>
              <w:t>1 Sep 2026</w:t>
            </w:r>
          </w:p>
        </w:tc>
        <w:tc>
          <w:tcPr>
            <w:tcW w:type="dxa" w:w="2450"/>
          </w:tcPr>
          <w:p>
            <w:r>
              <w:rPr>
                <w:rFonts w:ascii="Arial" w:hAnsi="Arial" w:eastAsia="Arial"/>
                <w:b w:val="0"/>
                <w:i w:val="0"/>
                <w:color w:val="1F1F1F"/>
                <w:sz w:val="18"/>
              </w:rPr>
              <w:t>Initial publication</w:t>
            </w:r>
          </w:p>
        </w:tc>
        <w:tc>
          <w:tcPr>
            <w:tcW w:type="dxa" w:w="2450"/>
          </w:tcPr>
          <w:p>
            <w:r>
              <w:rPr>
                <w:rFonts w:ascii="Arial" w:hAnsi="Arial" w:eastAsia="Arial"/>
                <w:b w:val="0"/>
                <w:i w:val="0"/>
                <w:color w:val="1F1F1F"/>
                <w:sz w:val="18"/>
              </w:rPr>
              <w:t>Board of Governors</w:t>
            </w:r>
          </w:p>
        </w:tc>
      </w:tr>
    </w:tbl>
    <w:p>
      <w:pPr>
        <w:spacing w:after="40" w:line="324" w:lineRule="auto"/>
      </w:pPr>
      <w:r>
        <w:rPr>
          <w:rFonts w:ascii="Arial" w:hAnsi="Arial" w:eastAsia="Arial"/>
          <w:b w:val="0"/>
          <w:i w:val="0"/>
          <w:color w:val="5B5753"/>
          <w:sz w:val="15"/>
        </w:rPr>
        <w:br/>
        <w:t>APPROVED BY</w:t>
      </w:r>
    </w:p>
    <w:p>
      <w:pPr>
        <w:spacing w:after="0" w:line="324" w:lineRule="auto"/>
      </w:pPr>
      <w:r>
        <w:rPr>
          <w:rFonts w:ascii="Arial" w:hAnsi="Arial" w:eastAsia="Arial"/>
          <w:b w:val="0"/>
          <w:i w:val="0"/>
          <w:color w:val="1F1F1F"/>
          <w:sz w:val="21"/>
        </w:rPr>
        <w:t>Board of Governors</w:t>
      </w:r>
    </w:p>
    <w:p>
      <w:pPr>
        <w:spacing w:after="240" w:line="324" w:lineRule="auto"/>
      </w:pPr>
      <w:r>
        <w:rPr>
          <w:rFonts w:ascii="Arial" w:hAnsi="Arial" w:eastAsia="Arial"/>
          <w:b w:val="0"/>
          <w:i w:val="0"/>
          <w:color w:val="5B5753"/>
          <w:sz w:val="16"/>
        </w:rPr>
        <w:t>Tiny Explorers Nursery &amp; Preschool</w:t>
      </w:r>
    </w:p>
    <w:p>
      <w:pPr>
        <w:spacing w:after="120" w:line="324" w:lineRule="auto"/>
      </w:pPr>
      <w:r>
        <w:rPr>
          <w:rFonts w:ascii="Arial" w:hAnsi="Arial" w:eastAsia="Arial"/>
          <w:b w:val="0"/>
          <w:i w:val="0"/>
          <w:color w:val="5B5753"/>
          <w:sz w:val="15"/>
        </w:rPr>
        <w:t>DATE: 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220" w:bottom="1440" w:left="12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color w:val="5B5753"/>
        <w:sz w:val="15"/>
      </w:rPr>
      <w:t>tinyexplorersbda.com  ·  © 2026 Tiny Explorers Nursery &amp; Preschool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Georgia" w:hAnsi="Georgia" w:eastAsia="Georgia"/>
        <w:b w:val="0"/>
        <w:i w:val="0"/>
        <w:color w:val="1F1F1F"/>
        <w:sz w:val="20"/>
      </w:rPr>
      <w:t>Tiny Explorers Nursery &amp; Preschool</w:t>
    </w:r>
    <w:r>
      <w:rPr>
        <w:rFonts w:ascii="Georgia" w:hAnsi="Georgia" w:eastAsia="Georgia"/>
        <w:b w:val="0"/>
        <w:i/>
        <w:color w:val="5B5753"/>
        <w:sz w:val="16"/>
      </w:rPr>
      <w:br/>
      <w:t>Where Learning Blossoms, and Adventures Begin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Medicine Policy</dc:title>
  <dc:subject>POL-008 v1.0</dc:subject>
  <dc:creator>Tiny Explorers Nursery &amp; Preschool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