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Privacy and Confidentiality Policy</w:t>
      </w:r>
    </w:p>
    <w:p>
      <w:pPr/>
      <w:r>
        <w:t>Purpose</w:t>
      </w:r>
    </w:p>
    <w:p>
      <w:pPr/>
      <w:r>
        <w:t>We are dedicated to protecting the privacy and confidentiality of all individuals associated with our program, including children, parents, guardians, and staff.</w:t>
      </w:r>
    </w:p>
    <w:p>
      <w:pPr/>
      <w:r>
        <w:t>Collection of Personal Information</w:t>
      </w:r>
    </w:p>
    <w:p>
      <w:pPr/>
      <w:r>
        <w:t>We collect personal information necessary for the effective operation of our nursery and preschool, including health and emergency contact details, enrollment and attendance records, and staff records.</w:t>
      </w:r>
    </w:p>
    <w:p>
      <w:pPr/>
      <w:r>
        <w:t>Use and Access to Personal Information</w:t>
      </w:r>
    </w:p>
    <w:p>
      <w:pPr/>
      <w:r>
        <w:t>Personal information will be used only for the purposes for which it was collected and accessed only by authorized personnel.</w:t>
      </w:r>
    </w:p>
    <w:sectPr>
      <w:pgSz w:w="12240" w:h="15840"/>
      <w:pgMar w:top="1440" w:right="1440" w:bottom="1440" w:left="1440"/>
    </w:sectPr>
  </w:body>
</w:document>
</file>