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960"/>
        <w:gridCol w:w="1960"/>
        <w:gridCol w:w="1960"/>
        <w:gridCol w:w="1960"/>
        <w:gridCol w:w="1960"/>
      </w:tblGrid>
      <w:tr>
        <w:tc>
          <w:tcPr>
            <w:tcW w:type="dxa" w:w="1960"/>
          </w:tcPr>
          <w:p>
            <w:r>
              <w:rPr>
                <w:rFonts w:ascii="Arial" w:hAnsi="Arial" w:eastAsia="Arial"/>
                <w:b w:val="0"/>
                <w:i w:val="0"/>
                <w:color w:val="5B5753"/>
                <w:sz w:val="14"/>
              </w:rPr>
              <w:t>VERSION</w:t>
            </w:r>
          </w:p>
        </w:tc>
        <w:tc>
          <w:tcPr>
            <w:tcW w:type="dxa" w:w="1960"/>
          </w:tcPr>
          <w:p>
            <w:r>
              <w:rPr>
                <w:rFonts w:ascii="Arial" w:hAnsi="Arial" w:eastAsia="Arial"/>
                <w:b w:val="0"/>
                <w:i w:val="0"/>
                <w:color w:val="5B5753"/>
                <w:sz w:val="14"/>
              </w:rPr>
              <w:t>DOC ID</w:t>
            </w:r>
          </w:p>
        </w:tc>
        <w:tc>
          <w:tcPr>
            <w:tcW w:type="dxa" w:w="1960"/>
          </w:tcPr>
          <w:p>
            <w:r>
              <w:rPr>
                <w:rFonts w:ascii="Arial" w:hAnsi="Arial" w:eastAsia="Arial"/>
                <w:b w:val="0"/>
                <w:i w:val="0"/>
                <w:color w:val="5B5753"/>
                <w:sz w:val="14"/>
              </w:rPr>
              <w:t>EFFECTIVE</w:t>
            </w:r>
          </w:p>
        </w:tc>
        <w:tc>
          <w:tcPr>
            <w:tcW w:type="dxa" w:w="1960"/>
          </w:tcPr>
          <w:p>
            <w:r>
              <w:rPr>
                <w:rFonts w:ascii="Arial" w:hAnsi="Arial" w:eastAsia="Arial"/>
                <w:b w:val="0"/>
                <w:i w:val="0"/>
                <w:color w:val="5B5753"/>
                <w:sz w:val="14"/>
              </w:rPr>
              <w:t>REVIEW</w:t>
            </w:r>
          </w:p>
        </w:tc>
        <w:tc>
          <w:tcPr>
            <w:tcW w:type="dxa" w:w="1960"/>
          </w:tcPr>
          <w:p>
            <w:r>
              <w:rPr>
                <w:rFonts w:ascii="Arial" w:hAnsi="Arial" w:eastAsia="Arial"/>
                <w:b w:val="0"/>
                <w:i w:val="0"/>
                <w:color w:val="5B5753"/>
                <w:sz w:val="14"/>
              </w:rPr>
              <w:t>APPROVED BY</w:t>
            </w:r>
          </w:p>
        </w:tc>
      </w:tr>
      <w:tr>
        <w:tc>
          <w:tcPr>
            <w:tcW w:type="dxa" w:w="1960"/>
          </w:tcPr>
          <w:p>
            <w:r>
              <w:rPr>
                <w:rFonts w:ascii="Arial" w:hAnsi="Arial" w:eastAsia="Arial"/>
                <w:b w:val="0"/>
                <w:i w:val="0"/>
                <w:color w:val="1F1F1F"/>
                <w:sz w:val="18"/>
              </w:rPr>
              <w:t>1.1</w:t>
            </w:r>
          </w:p>
        </w:tc>
        <w:tc>
          <w:tcPr>
            <w:tcW w:type="dxa" w:w="1960"/>
          </w:tcPr>
          <w:p>
            <w:r>
              <w:rPr>
                <w:rFonts w:ascii="Arial" w:hAnsi="Arial" w:eastAsia="Arial"/>
                <w:b w:val="0"/>
                <w:i w:val="0"/>
                <w:color w:val="1F1F1F"/>
                <w:sz w:val="18"/>
              </w:rPr>
              <w:t>POL-010</w:t>
            </w:r>
          </w:p>
        </w:tc>
        <w:tc>
          <w:tcPr>
            <w:tcW w:type="dxa" w:w="1960"/>
          </w:tcPr>
          <w:p>
            <w:r>
              <w:rPr>
                <w:rFonts w:ascii="Arial" w:hAnsi="Arial" w:eastAsia="Arial"/>
                <w:b w:val="0"/>
                <w:i w:val="0"/>
                <w:color w:val="1F1F1F"/>
                <w:sz w:val="18"/>
              </w:rPr>
              <w:t>On publication</w:t>
            </w:r>
          </w:p>
        </w:tc>
        <w:tc>
          <w:tcPr>
            <w:tcW w:type="dxa" w:w="1960"/>
          </w:tcPr>
          <w:p>
            <w:r>
              <w:rPr>
                <w:rFonts w:ascii="Arial" w:hAnsi="Arial" w:eastAsia="Arial"/>
                <w:b w:val="0"/>
                <w:i w:val="0"/>
                <w:color w:val="1F1F1F"/>
                <w:sz w:val="18"/>
              </w:rPr>
              <w:t>1 Sep 2027</w:t>
            </w:r>
          </w:p>
        </w:tc>
        <w:tc>
          <w:tcPr>
            <w:tcW w:type="dxa" w:w="1960"/>
          </w:tcPr>
          <w:p>
            <w:r>
              <w:rPr>
                <w:rFonts w:ascii="Arial" w:hAnsi="Arial" w:eastAsia="Arial"/>
                <w:b w:val="0"/>
                <w:i w:val="0"/>
                <w:color w:val="1F1F1F"/>
                <w:sz w:val="18"/>
              </w:rPr>
              <w:t>Pending sign-off</w:t>
            </w:r>
          </w:p>
        </w:tc>
      </w:tr>
    </w:tbl>
    <w:p>
      <w:pPr>
        <w:spacing w:after="40" w:line="324" w:lineRule="auto"/>
      </w:pPr>
      <w:r>
        <w:rPr>
          <w:rFonts w:ascii="Arial" w:hAnsi="Arial" w:eastAsia="Arial"/>
          <w:b w:val="0"/>
          <w:i w:val="0"/>
          <w:color w:val="E8622A"/>
          <w:sz w:val="16"/>
        </w:rPr>
        <w:t>POLICY DOCUMENT</w:t>
      </w:r>
    </w:p>
    <w:p>
      <w:pPr>
        <w:spacing w:after="80" w:line="324" w:lineRule="auto"/>
      </w:pPr>
      <w:r>
        <w:rPr>
          <w:rFonts w:ascii="Georgia" w:hAnsi="Georgia" w:eastAsia="Georgia"/>
          <w:b w:val="0"/>
          <w:i w:val="0"/>
          <w:color w:val="1F1F1F"/>
          <w:sz w:val="48"/>
        </w:rPr>
        <w:t>Privacy &amp; Confidentiality Policy</w:t>
      </w:r>
    </w:p>
    <w:p>
      <w:pPr>
        <w:spacing w:after="200" w:line="324" w:lineRule="auto"/>
        <w:pBdr>
          <w:bottom w:val="single" w:sz="4" w:space="4" w:color="E2DDD6"/>
        </w:pBdr>
      </w:pPr>
      <w:r>
        <w:rPr>
          <w:rFonts w:ascii="Arial" w:hAnsi="Arial" w:eastAsia="Arial"/>
          <w:b w:val="0"/>
          <w:i w:val="0"/>
          <w:color w:val="5B5753"/>
          <w:sz w:val="21"/>
        </w:rPr>
        <w:t>How personal information belonging to children, families and staff is collected, used, stored and protected.</w:t>
      </w:r>
    </w:p>
    <w:p>
      <w:pPr>
        <w:spacing w:after="200" w:line="324" w:lineRule="auto"/>
      </w:pPr>
      <w:r>
        <w:rPr>
          <w:rFonts w:ascii="Arial" w:hAnsi="Arial" w:eastAsia="Arial"/>
          <w:b w:val="0"/>
          <w:i w:val="0"/>
          <w:color w:val="1F1F1F"/>
          <w:sz w:val="23"/>
        </w:rPr>
        <w:t>Tiny Explorers is dedicated to protecting the privacy of every child, parent, guardian and staff member associated with our program. This policy sets out how personal information is handled with care and security.</w:t>
      </w:r>
    </w:p>
    <w:p>
      <w:pPr>
        <w:keepNext/>
        <w:spacing w:after="0" w:line="324" w:lineRule="auto"/>
      </w:pPr>
      <w:r>
        <w:rPr>
          <w:rFonts w:ascii="Arial" w:hAnsi="Arial" w:eastAsia="Arial"/>
          <w:b w:val="0"/>
          <w:i w:val="0"/>
          <w:color w:val="E8622A"/>
          <w:sz w:val="16"/>
        </w:rPr>
        <w:t>01</w:t>
      </w:r>
    </w:p>
    <w:p>
      <w:pPr>
        <w:keepNext/>
        <w:spacing w:after="120" w:line="324" w:lineRule="auto"/>
        <w:pBdr>
          <w:bottom w:val="single" w:sz="4" w:space="4" w:color="E2DDD6"/>
        </w:pBdr>
      </w:pPr>
      <w:r>
        <w:rPr>
          <w:rFonts w:ascii="Georgia" w:hAnsi="Georgia" w:eastAsia="Georgia"/>
          <w:b w:val="0"/>
          <w:i w:val="0"/>
          <w:color w:val="1F1F1F"/>
          <w:sz w:val="32"/>
        </w:rPr>
        <w:t>Collection of Information</w:t>
      </w:r>
    </w:p>
    <w:p>
      <w:pPr>
        <w:spacing w:after="120" w:line="324" w:lineRule="auto"/>
      </w:pPr>
      <w:r>
        <w:rPr>
          <w:rFonts w:ascii="Arial" w:hAnsi="Arial" w:eastAsia="Arial"/>
          <w:b w:val="0"/>
          <w:i w:val="0"/>
          <w:color w:val="1F1F1F"/>
          <w:sz w:val="21"/>
        </w:rPr>
        <w:t>We collect information necessary to operate safely and effectively, including children's health and emergency contact details, enrollment and attendance records, parent and guardian contact details, and staff employment records — collected to provide appropriate care, manage enrollment, ensure safety, meet legal obligations, and communicate with families.</w:t>
      </w:r>
    </w:p>
    <w:p>
      <w:pPr>
        <w:keepNext/>
        <w:spacing w:after="0" w:line="324" w:lineRule="auto"/>
      </w:pPr>
      <w:r>
        <w:rPr>
          <w:rFonts w:ascii="Arial" w:hAnsi="Arial" w:eastAsia="Arial"/>
          <w:b w:val="0"/>
          <w:i w:val="0"/>
          <w:color w:val="E8622A"/>
          <w:sz w:val="16"/>
        </w:rPr>
        <w:t>02</w:t>
      </w:r>
    </w:p>
    <w:p>
      <w:pPr>
        <w:keepNext/>
        <w:spacing w:after="120" w:line="324" w:lineRule="auto"/>
        <w:pBdr>
          <w:bottom w:val="single" w:sz="4" w:space="4" w:color="E2DDD6"/>
        </w:pBdr>
      </w:pPr>
      <w:r>
        <w:rPr>
          <w:rFonts w:ascii="Georgia" w:hAnsi="Georgia" w:eastAsia="Georgia"/>
          <w:b w:val="0"/>
          <w:i w:val="0"/>
          <w:color w:val="1F1F1F"/>
          <w:sz w:val="32"/>
        </w:rPr>
        <w:t>Use, Access &amp; Accuracy</w:t>
      </w:r>
    </w:p>
    <w:p>
      <w:pPr>
        <w:spacing w:after="120" w:line="324" w:lineRule="auto"/>
      </w:pPr>
      <w:r>
        <w:rPr>
          <w:rFonts w:ascii="Arial" w:hAnsi="Arial" w:eastAsia="Arial"/>
          <w:b w:val="0"/>
          <w:i w:val="0"/>
          <w:color w:val="1F1F1F"/>
          <w:sz w:val="21"/>
        </w:rPr>
        <w:t>Personal information is used only for the purpose it was collected, and never repurposed without explicit consent. Access is restricted to authorised personnel who require it to perform their duties, all trained in confidentiality and data protection. Families are encouraged to notify us of any change to their information to keep records accurate.</w:t>
      </w:r>
    </w:p>
    <w:p>
      <w:pPr>
        <w:keepNext/>
        <w:spacing w:after="0" w:line="324" w:lineRule="auto"/>
      </w:pPr>
      <w:r>
        <w:rPr>
          <w:rFonts w:ascii="Arial" w:hAnsi="Arial" w:eastAsia="Arial"/>
          <w:b w:val="0"/>
          <w:i w:val="0"/>
          <w:color w:val="E8622A"/>
          <w:sz w:val="16"/>
        </w:rPr>
        <w:t>03</w:t>
      </w:r>
    </w:p>
    <w:p>
      <w:pPr>
        <w:keepNext/>
        <w:spacing w:after="120" w:line="324" w:lineRule="auto"/>
        <w:pBdr>
          <w:bottom w:val="single" w:sz="4" w:space="4" w:color="E2DDD6"/>
        </w:pBdr>
      </w:pPr>
      <w:r>
        <w:rPr>
          <w:rFonts w:ascii="Georgia" w:hAnsi="Georgia" w:eastAsia="Georgia"/>
          <w:b w:val="0"/>
          <w:i w:val="0"/>
          <w:color w:val="1F1F1F"/>
          <w:sz w:val="32"/>
        </w:rPr>
        <w:t>Storage &amp; Retention</w:t>
      </w:r>
    </w:p>
    <w:p>
      <w:pPr>
        <w:spacing w:after="120" w:line="324" w:lineRule="auto"/>
      </w:pPr>
      <w:r>
        <w:rPr>
          <w:rFonts w:ascii="Arial" w:hAnsi="Arial" w:eastAsia="Arial"/>
          <w:b w:val="0"/>
          <w:i w:val="0"/>
          <w:color w:val="1F1F1F"/>
          <w:sz w:val="21"/>
        </w:rPr>
        <w:t>Physical records are kept in locked storage; electronic records on secure, password-protected systems with encryption, firewalls and access controls. Information is retained only as long as necessary for its purpose or as required by law, then securely disposed of.</w:t>
      </w:r>
    </w:p>
    <w:p>
      <w:pPr>
        <w:spacing w:after="120" w:line="324" w:lineRule="auto"/>
      </w:pPr>
      <w:r>
        <w:rPr>
          <w:rFonts w:ascii="Arial" w:hAnsi="Arial" w:eastAsia="Arial"/>
          <w:b w:val="0"/>
          <w:i w:val="0"/>
          <w:color w:val="1F1F1F"/>
          <w:sz w:val="21"/>
        </w:rPr>
        <w:t>Enquiries from families who do not enrol are deleted six months after they are received.</w:t>
      </w:r>
    </w:p>
    <w:p>
      <w:pPr>
        <w:keepNext/>
        <w:spacing w:after="0" w:line="324" w:lineRule="auto"/>
      </w:pPr>
      <w:r>
        <w:rPr>
          <w:rFonts w:ascii="Arial" w:hAnsi="Arial" w:eastAsia="Arial"/>
          <w:b w:val="0"/>
          <w:i w:val="0"/>
          <w:color w:val="E8622A"/>
          <w:sz w:val="16"/>
        </w:rPr>
        <w:t>04</w:t>
      </w:r>
    </w:p>
    <w:p>
      <w:pPr>
        <w:keepNext/>
        <w:spacing w:after="120" w:line="324" w:lineRule="auto"/>
        <w:pBdr>
          <w:bottom w:val="single" w:sz="4" w:space="4" w:color="E2DDD6"/>
        </w:pBdr>
      </w:pPr>
      <w:r>
        <w:rPr>
          <w:rFonts w:ascii="Georgia" w:hAnsi="Georgia" w:eastAsia="Georgia"/>
          <w:b w:val="0"/>
          <w:i w:val="0"/>
          <w:color w:val="1F1F1F"/>
          <w:sz w:val="32"/>
        </w:rPr>
        <w:t>Sharing of Information</w:t>
      </w:r>
    </w:p>
    <w:p>
      <w:pPr>
        <w:spacing w:after="120" w:line="324" w:lineRule="auto"/>
      </w:pPr>
      <w:r>
        <w:rPr>
          <w:rFonts w:ascii="Arial" w:hAnsi="Arial" w:eastAsia="Arial"/>
          <w:b w:val="0"/>
          <w:i w:val="0"/>
          <w:color w:val="1F1F1F"/>
          <w:sz w:val="21"/>
        </w:rPr>
        <w:t>Information may be shared internally among authorised staff who require it. It is not shared externally except:</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With the explicit consent of the parent or guardian</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As required by law or regulatory authority</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To comply with legal obligations or protect individual safety</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For specific educational or administrative purposes, with appropriate safeguards</w:t>
      </w:r>
    </w:p>
    <w:p>
      <w:pPr>
        <w:spacing w:after="40" w:line="324" w:lineRule="auto"/>
      </w:pPr>
      <w:r>
        <w:rPr>
          <w:rFonts w:ascii="Arial" w:hAnsi="Arial" w:eastAsia="Arial"/>
          <w:b w:val="0"/>
          <w:i w:val="0"/>
          <w:color w:val="E8622A"/>
          <w:sz w:val="15"/>
        </w:rPr>
        <w:t>PRIVACY RIGHTS</w:t>
      </w:r>
    </w:p>
    <w:p>
      <w:pPr>
        <w:spacing w:after="40" w:line="324" w:lineRule="auto"/>
      </w:pPr>
      <w:r>
        <w:rPr>
          <w:rFonts w:ascii="Georgia" w:hAnsi="Georgia" w:eastAsia="Georgia"/>
          <w:b w:val="0"/>
          <w:i/>
          <w:color w:val="1F1F1F"/>
          <w:sz w:val="24"/>
        </w:rPr>
        <w:t>"Individuals may access, correct, or ask about their information."</w:t>
      </w:r>
    </w:p>
    <w:p>
      <w:pPr>
        <w:spacing w:after="120" w:line="324" w:lineRule="auto"/>
      </w:pPr>
      <w:r>
        <w:rPr>
          <w:rFonts w:ascii="Arial" w:hAnsi="Arial" w:eastAsia="Arial"/>
          <w:b w:val="0"/>
          <w:i w:val="0"/>
          <w:color w:val="1F1F1F"/>
          <w:sz w:val="21"/>
        </w:rPr>
        <w:t>Staff sign confidentiality agreements as a condition of employment. Requests for access or correction should be directed to the School Director.</w:t>
      </w:r>
    </w:p>
    <w:p>
      <w:pPr>
        <w:keepNext/>
        <w:spacing w:after="0" w:line="324" w:lineRule="auto"/>
      </w:pPr>
      <w:r>
        <w:rPr>
          <w:rFonts w:ascii="Arial" w:hAnsi="Arial" w:eastAsia="Arial"/>
          <w:b w:val="0"/>
          <w:i w:val="0"/>
          <w:color w:val="E8622A"/>
          <w:sz w:val="16"/>
        </w:rPr>
        <w:t>05</w:t>
      </w:r>
    </w:p>
    <w:p>
      <w:pPr>
        <w:keepNext/>
        <w:spacing w:after="120" w:line="324" w:lineRule="auto"/>
        <w:pBdr>
          <w:bottom w:val="single" w:sz="4" w:space="4" w:color="E2DDD6"/>
        </w:pBdr>
      </w:pPr>
      <w:r>
        <w:rPr>
          <w:rFonts w:ascii="Georgia" w:hAnsi="Georgia" w:eastAsia="Georgia"/>
          <w:b w:val="0"/>
          <w:i w:val="0"/>
          <w:color w:val="1F1F1F"/>
          <w:sz w:val="32"/>
        </w:rPr>
        <w:t>Newsletter Sign-Up</w:t>
      </w:r>
    </w:p>
    <w:p>
      <w:pPr>
        <w:spacing w:after="120" w:line="324" w:lineRule="auto"/>
      </w:pPr>
      <w:r>
        <w:rPr>
          <w:rFonts w:ascii="Arial" w:hAnsi="Arial" w:eastAsia="Arial"/>
          <w:b/>
          <w:i w:val="0"/>
          <w:color w:val="1F1F1F"/>
          <w:sz w:val="21"/>
        </w:rPr>
        <w:t xml:space="preserve">What we collect: </w:t>
      </w:r>
      <w:r>
        <w:rPr>
          <w:rFonts w:ascii="Arial" w:hAnsi="Arial" w:eastAsia="Arial"/>
          <w:b w:val="0"/>
          <w:i w:val="0"/>
          <w:color w:val="1F1F1F"/>
          <w:sz w:val="21"/>
        </w:rPr>
        <w:t>If you subscribe to Tiny Explorers updates using the newsletter form on our website, we collect only the email address you provide. We do not require or collect your name, phone number, or any other personal information to subscribe.</w:t>
      </w:r>
    </w:p>
    <w:p>
      <w:pPr>
        <w:spacing w:after="120" w:line="324" w:lineRule="auto"/>
      </w:pPr>
      <w:r>
        <w:rPr>
          <w:rFonts w:ascii="Arial" w:hAnsi="Arial" w:eastAsia="Arial"/>
          <w:b/>
          <w:i w:val="0"/>
          <w:color w:val="1F1F1F"/>
          <w:sz w:val="21"/>
        </w:rPr>
        <w:t xml:space="preserve">Why we collect it: </w:t>
      </w:r>
      <w:r>
        <w:rPr>
          <w:rFonts w:ascii="Arial" w:hAnsi="Arial" w:eastAsia="Arial"/>
          <w:b w:val="0"/>
          <w:i w:val="0"/>
          <w:color w:val="1F1F1F"/>
          <w:sz w:val="21"/>
        </w:rPr>
        <w:t>Your email address is used solely to send you Tiny Explorers newsletter content (open house dates, parenting essays, community updates) that you have opted in to receive.</w:t>
      </w:r>
    </w:p>
    <w:p>
      <w:pPr>
        <w:spacing w:after="120" w:line="324" w:lineRule="auto"/>
      </w:pPr>
      <w:r>
        <w:rPr>
          <w:rFonts w:ascii="Arial" w:hAnsi="Arial" w:eastAsia="Arial"/>
          <w:b/>
          <w:i w:val="0"/>
          <w:color w:val="1F1F1F"/>
          <w:sz w:val="21"/>
        </w:rPr>
        <w:t xml:space="preserve">Where it is stored: </w:t>
      </w:r>
      <w:r>
        <w:rPr>
          <w:rFonts w:ascii="Arial" w:hAnsi="Arial" w:eastAsia="Arial"/>
          <w:b w:val="0"/>
          <w:i w:val="0"/>
          <w:color w:val="1F1F1F"/>
          <w:sz w:val="21"/>
        </w:rPr>
        <w:t>Subscription requests are stored securely in our database. Access is restricted to authorised Tiny Explorers staff and is never publicly viewable or searchable.</w:t>
      </w:r>
    </w:p>
    <w:p>
      <w:pPr>
        <w:spacing w:after="120" w:line="324" w:lineRule="auto"/>
      </w:pPr>
      <w:r>
        <w:rPr>
          <w:rFonts w:ascii="Arial" w:hAnsi="Arial" w:eastAsia="Arial"/>
          <w:b/>
          <w:i w:val="0"/>
          <w:color w:val="1F1F1F"/>
          <w:sz w:val="21"/>
        </w:rPr>
        <w:t xml:space="preserve">Google Workspace processing: </w:t>
      </w:r>
      <w:r>
        <w:rPr>
          <w:rFonts w:ascii="Arial" w:hAnsi="Arial" w:eastAsia="Arial"/>
          <w:b w:val="0"/>
          <w:i w:val="0"/>
          <w:color w:val="1F1F1F"/>
          <w:sz w:val="21"/>
        </w:rPr>
        <w:t>To deliver the newsletter, approved subscriber email addresses are added to our internal "Tiny Explorers Newsletter" Google Group (newsletter@tinyexplorersbda.com), managed through Google Workspace. Google processes this data as our service provider, under Google Workspace's own data processing terms.</w:t>
      </w:r>
    </w:p>
    <w:p>
      <w:pPr>
        <w:spacing w:after="120" w:line="324" w:lineRule="auto"/>
      </w:pPr>
      <w:r>
        <w:rPr>
          <w:rFonts w:ascii="Arial" w:hAnsi="Arial" w:eastAsia="Arial"/>
          <w:b/>
          <w:i w:val="0"/>
          <w:color w:val="1F1F1F"/>
          <w:sz w:val="21"/>
        </w:rPr>
        <w:t xml:space="preserve">Withdrawing consent / unsubscribing: </w:t>
      </w:r>
      <w:r>
        <w:rPr>
          <w:rFonts w:ascii="Arial" w:hAnsi="Arial" w:eastAsia="Arial"/>
          <w:b w:val="0"/>
          <w:i w:val="0"/>
          <w:color w:val="1F1F1F"/>
          <w:sz w:val="21"/>
        </w:rPr>
        <w:t>You may ask to be removed from the newsletter at any time by contacting us at hello@tinyexplorersbda.com. Once we process your request, your email address will be marked unsubscribed in our records and removed from the Google Group, and you will not receive further newsletter emails.</w:t>
      </w:r>
    </w:p>
    <w:p>
      <w:pPr>
        <w:spacing w:after="120" w:line="324" w:lineRule="auto"/>
      </w:pPr>
      <w:r>
        <w:rPr>
          <w:rFonts w:ascii="Arial" w:hAnsi="Arial" w:eastAsia="Arial"/>
          <w:b/>
          <w:i w:val="0"/>
          <w:color w:val="1F1F1F"/>
          <w:sz w:val="21"/>
        </w:rPr>
        <w:t xml:space="preserve">Retention: </w:t>
      </w:r>
      <w:r>
        <w:rPr>
          <w:rFonts w:ascii="Arial" w:hAnsi="Arial" w:eastAsia="Arial"/>
          <w:b w:val="0"/>
          <w:i w:val="0"/>
          <w:color w:val="1F1F1F"/>
          <w:sz w:val="21"/>
        </w:rPr>
        <w:t>We retain newsletter subscription records for as long as you remain subscribed. If you unsubscribe, we retain a minimal record (email address and unsubscribed status) only as needed to ensure we do not re-add you in error; you may request full deletion of this record by contacting us.</w:t>
      </w:r>
    </w:p>
    <w:p>
      <w:pPr>
        <w:spacing w:after="120" w:line="324" w:lineRule="auto"/>
      </w:pPr>
      <w:r>
        <w:rPr>
          <w:rFonts w:ascii="Arial" w:hAnsi="Arial" w:eastAsia="Arial"/>
          <w:b/>
          <w:i w:val="0"/>
          <w:color w:val="1F1F1F"/>
          <w:sz w:val="21"/>
        </w:rPr>
        <w:t xml:space="preserve">No sale or public disclosure: </w:t>
      </w:r>
      <w:r>
        <w:rPr>
          <w:rFonts w:ascii="Arial" w:hAnsi="Arial" w:eastAsia="Arial"/>
          <w:b w:val="0"/>
          <w:i w:val="0"/>
          <w:color w:val="1F1F1F"/>
          <w:sz w:val="21"/>
        </w:rPr>
        <w:t>We do not sell, rent, or publicly disclose newsletter subscriber email addresses, and we do not provide any way for one subscriber to view another subscriber's information.</w:t>
      </w:r>
    </w:p>
    <w:p>
      <w:pPr>
        <w:keepNext/>
        <w:spacing w:after="0" w:line="324" w:lineRule="auto"/>
      </w:pPr>
      <w:r>
        <w:rPr>
          <w:rFonts w:ascii="Arial" w:hAnsi="Arial" w:eastAsia="Arial"/>
          <w:b w:val="0"/>
          <w:i w:val="0"/>
          <w:color w:val="E8622A"/>
          <w:sz w:val="16"/>
        </w:rPr>
        <w:t>06</w:t>
      </w:r>
    </w:p>
    <w:p>
      <w:pPr>
        <w:keepNext/>
        <w:spacing w:after="120" w:line="324" w:lineRule="auto"/>
        <w:pBdr>
          <w:bottom w:val="single" w:sz="4" w:space="4" w:color="E2DDD6"/>
        </w:pBdr>
      </w:pPr>
      <w:r>
        <w:rPr>
          <w:rFonts w:ascii="Georgia" w:hAnsi="Georgia" w:eastAsia="Georgia"/>
          <w:b w:val="0"/>
          <w:i w:val="0"/>
          <w:color w:val="1F1F1F"/>
          <w:sz w:val="32"/>
        </w:rPr>
        <w:t>Concerns &amp; Review</w:t>
      </w:r>
    </w:p>
    <w:p>
      <w:pPr>
        <w:spacing w:after="120" w:line="324" w:lineRule="auto"/>
      </w:pPr>
      <w:r>
        <w:rPr>
          <w:rFonts w:ascii="Arial" w:hAnsi="Arial" w:eastAsia="Arial"/>
          <w:b w:val="0"/>
          <w:i w:val="0"/>
          <w:color w:val="1F1F1F"/>
          <w:sz w:val="21"/>
        </w:rPr>
        <w:t>Concerns about a breach of privacy or confidentiality should be reported to the School Director immediately and are investigated promptly, following our Complaint Policy where relevant. This policy is reviewed annually to ensure ongoing compliance with applicable law and best practice.</w:t>
      </w:r>
    </w:p>
    <w:p>
      <w:r>
        <w:br w:type="page"/>
      </w:r>
    </w:p>
    <w:p>
      <w:pPr>
        <w:spacing w:after="120" w:line="324" w:lineRule="auto"/>
      </w:pPr>
      <w:r>
        <w:rPr>
          <w:rFonts w:ascii="Arial" w:hAnsi="Arial" w:eastAsia="Arial"/>
          <w:b w:val="0"/>
          <w:i w:val="0"/>
          <w:color w:val="5B5753"/>
          <w:sz w:val="16"/>
        </w:rPr>
        <w:t>REVISION HISTORY</w:t>
      </w:r>
    </w:p>
    <w:tbl>
      <w:tblPr>
        <w:tblStyle w:val="TableGrid"/>
        <w:tblW w:type="auto" w:w="0"/>
        <w:tblLook w:firstColumn="1" w:firstRow="1" w:lastColumn="0" w:lastRow="0" w:noHBand="0" w:noVBand="1" w:val="04A0"/>
      </w:tblPr>
      <w:tblGrid>
        <w:gridCol w:w="2450"/>
        <w:gridCol w:w="2450"/>
        <w:gridCol w:w="2450"/>
        <w:gridCol w:w="2450"/>
      </w:tblGrid>
      <w:tr>
        <w:tc>
          <w:tcPr>
            <w:tcW w:type="dxa" w:w="2450"/>
          </w:tcPr>
          <w:p>
            <w:r>
              <w:rPr>
                <w:rFonts w:ascii="Arial" w:hAnsi="Arial" w:eastAsia="Arial"/>
                <w:b w:val="0"/>
                <w:i w:val="0"/>
                <w:color w:val="5B5753"/>
                <w:sz w:val="14"/>
              </w:rPr>
              <w:t>VERSION</w:t>
            </w:r>
          </w:p>
        </w:tc>
        <w:tc>
          <w:tcPr>
            <w:tcW w:type="dxa" w:w="2450"/>
          </w:tcPr>
          <w:p>
            <w:r>
              <w:rPr>
                <w:rFonts w:ascii="Arial" w:hAnsi="Arial" w:eastAsia="Arial"/>
                <w:b w:val="0"/>
                <w:i w:val="0"/>
                <w:color w:val="5B5753"/>
                <w:sz w:val="14"/>
              </w:rPr>
              <w:t>DATE</w:t>
            </w:r>
          </w:p>
        </w:tc>
        <w:tc>
          <w:tcPr>
            <w:tcW w:type="dxa" w:w="2450"/>
          </w:tcPr>
          <w:p>
            <w:r>
              <w:rPr>
                <w:rFonts w:ascii="Arial" w:hAnsi="Arial" w:eastAsia="Arial"/>
                <w:b w:val="0"/>
                <w:i w:val="0"/>
                <w:color w:val="5B5753"/>
                <w:sz w:val="14"/>
              </w:rPr>
              <w:t>SUMMARY</w:t>
            </w:r>
          </w:p>
        </w:tc>
        <w:tc>
          <w:tcPr>
            <w:tcW w:type="dxa" w:w="2450"/>
          </w:tcPr>
          <w:p>
            <w:r>
              <w:rPr>
                <w:rFonts w:ascii="Arial" w:hAnsi="Arial" w:eastAsia="Arial"/>
                <w:b w:val="0"/>
                <w:i w:val="0"/>
                <w:color w:val="5B5753"/>
                <w:sz w:val="14"/>
              </w:rPr>
              <w:t>AUTHOR</w:t>
            </w:r>
          </w:p>
        </w:tc>
      </w:tr>
      <w:tr>
        <w:tc>
          <w:tcPr>
            <w:tcW w:type="dxa" w:w="2450"/>
          </w:tcPr>
          <w:p>
            <w:r>
              <w:rPr>
                <w:rFonts w:ascii="Arial" w:hAnsi="Arial" w:eastAsia="Arial"/>
                <w:b w:val="0"/>
                <w:i w:val="0"/>
                <w:color w:val="1F1F1F"/>
                <w:sz w:val="18"/>
              </w:rPr>
              <w:t>1.0</w:t>
            </w:r>
          </w:p>
        </w:tc>
        <w:tc>
          <w:tcPr>
            <w:tcW w:type="dxa" w:w="2450"/>
          </w:tcPr>
          <w:p>
            <w:r>
              <w:rPr>
                <w:rFonts w:ascii="Arial" w:hAnsi="Arial" w:eastAsia="Arial"/>
                <w:b w:val="0"/>
                <w:i w:val="0"/>
                <w:color w:val="1F1F1F"/>
                <w:sz w:val="18"/>
              </w:rPr>
              <w:t>1 Sep 2026</w:t>
            </w:r>
          </w:p>
        </w:tc>
        <w:tc>
          <w:tcPr>
            <w:tcW w:type="dxa" w:w="2450"/>
          </w:tcPr>
          <w:p>
            <w:r>
              <w:rPr>
                <w:rFonts w:ascii="Arial" w:hAnsi="Arial" w:eastAsia="Arial"/>
                <w:b w:val="0"/>
                <w:i w:val="0"/>
                <w:color w:val="1F1F1F"/>
                <w:sz w:val="18"/>
              </w:rPr>
              <w:t>Initial publication</w:t>
            </w:r>
          </w:p>
        </w:tc>
        <w:tc>
          <w:tcPr>
            <w:tcW w:type="dxa" w:w="2450"/>
          </w:tcPr>
          <w:p>
            <w:r>
              <w:rPr>
                <w:rFonts w:ascii="Arial" w:hAnsi="Arial" w:eastAsia="Arial"/>
                <w:b w:val="0"/>
                <w:i w:val="0"/>
                <w:color w:val="1F1F1F"/>
                <w:sz w:val="18"/>
              </w:rPr>
              <w:t>Board of Governors</w:t>
            </w:r>
          </w:p>
        </w:tc>
      </w:tr>
      <w:tr>
        <w:tc>
          <w:tcPr>
            <w:tcW w:type="dxa" w:w="2450"/>
          </w:tcPr>
          <w:p>
            <w:r>
              <w:rPr>
                <w:rFonts w:ascii="Arial" w:hAnsi="Arial" w:eastAsia="Arial"/>
                <w:b w:val="0"/>
                <w:i w:val="0"/>
                <w:color w:val="1F1F1F"/>
                <w:sz w:val="18"/>
              </w:rPr>
              <w:t>1.1</w:t>
            </w:r>
          </w:p>
        </w:tc>
        <w:tc>
          <w:tcPr>
            <w:tcW w:type="dxa" w:w="2450"/>
          </w:tcPr>
          <w:p>
            <w:r>
              <w:rPr>
                <w:rFonts w:ascii="Arial" w:hAnsi="Arial" w:eastAsia="Arial"/>
                <w:b w:val="0"/>
                <w:i w:val="0"/>
                <w:color w:val="1F1F1F"/>
                <w:sz w:val="18"/>
              </w:rPr>
              <w:t>19 Oct 2026</w:t>
            </w:r>
          </w:p>
        </w:tc>
        <w:tc>
          <w:tcPr>
            <w:tcW w:type="dxa" w:w="2450"/>
          </w:tcPr>
          <w:p>
            <w:r>
              <w:rPr>
                <w:rFonts w:ascii="Arial" w:hAnsi="Arial" w:eastAsia="Arial"/>
                <w:b w:val="0"/>
                <w:i w:val="0"/>
                <w:color w:val="1F1F1F"/>
                <w:sz w:val="18"/>
              </w:rPr>
              <w:t>Added Newsletter Sign-Up section and six-month retention for enquiries (approved by the owner)</w:t>
            </w:r>
          </w:p>
        </w:tc>
        <w:tc>
          <w:tcPr>
            <w:tcW w:type="dxa" w:w="2450"/>
          </w:tcPr>
          <w:p>
            <w:r>
              <w:rPr>
                <w:rFonts w:ascii="Arial" w:hAnsi="Arial" w:eastAsia="Arial"/>
                <w:b w:val="0"/>
                <w:i w:val="0"/>
                <w:color w:val="1F1F1F"/>
                <w:sz w:val="18"/>
              </w:rPr>
              <w:t>Tiny Explorers</w:t>
            </w:r>
          </w:p>
        </w:tc>
      </w:tr>
    </w:tbl>
    <w:p>
      <w:pPr>
        <w:spacing w:after="40" w:line="324" w:lineRule="auto"/>
      </w:pPr>
      <w:r>
        <w:rPr>
          <w:rFonts w:ascii="Arial" w:hAnsi="Arial" w:eastAsia="Arial"/>
          <w:b w:val="0"/>
          <w:i w:val="0"/>
          <w:color w:val="5B5753"/>
          <w:sz w:val="15"/>
        </w:rPr>
        <w:br/>
        <w:t>APPROVED BY</w:t>
      </w:r>
    </w:p>
    <w:p>
      <w:pPr>
        <w:spacing w:after="0" w:line="324" w:lineRule="auto"/>
      </w:pPr>
      <w:r>
        <w:rPr>
          <w:rFonts w:ascii="Arial" w:hAnsi="Arial" w:eastAsia="Arial"/>
          <w:b w:val="0"/>
          <w:i w:val="0"/>
          <w:color w:val="1F1F1F"/>
          <w:sz w:val="21"/>
        </w:rPr>
        <w:t>Pending sign-off</w:t>
      </w:r>
    </w:p>
    <w:p>
      <w:pPr>
        <w:spacing w:after="240" w:line="324" w:lineRule="auto"/>
      </w:pPr>
      <w:r>
        <w:rPr>
          <w:rFonts w:ascii="Arial" w:hAnsi="Arial" w:eastAsia="Arial"/>
          <w:b w:val="0"/>
          <w:i w:val="0"/>
          <w:color w:val="5B5753"/>
          <w:sz w:val="16"/>
        </w:rPr>
        <w:t>Tiny Explorers Nursery &amp; Preschool</w:t>
      </w:r>
    </w:p>
    <w:p>
      <w:pPr>
        <w:spacing w:after="120" w:line="324" w:lineRule="auto"/>
      </w:pPr>
      <w:r>
        <w:rPr>
          <w:rFonts w:ascii="Arial" w:hAnsi="Arial" w:eastAsia="Arial"/>
          <w:b w:val="0"/>
          <w:i w:val="0"/>
          <w:color w:val="5B5753"/>
          <w:sz w:val="15"/>
        </w:rPr>
        <w:t>DATE: ______________________</w:t>
      </w:r>
    </w:p>
    <w:sectPr w:rsidR="00FC693F" w:rsidRPr="0006063C" w:rsidSect="00034616">
      <w:headerReference w:type="default" r:id="rId9"/>
      <w:footerReference w:type="default" r:id="rId10"/>
      <w:pgSz w:w="12240" w:h="15840"/>
      <w:pgMar w:top="1440" w:right="1220" w:bottom="14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B5753"/>
        <w:sz w:val="15"/>
      </w:rPr>
      <w:t>tinyexplorersbda.com  ·  © 2026 Tiny Explorers Nursery &amp; Preschool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b w:val="0"/>
        <w:i w:val="0"/>
        <w:color w:val="1F1F1F"/>
        <w:sz w:val="20"/>
      </w:rPr>
      <w:t>Tiny Explorers Nursery &amp; Preschool</w:t>
    </w:r>
    <w:r>
      <w:rPr>
        <w:rFonts w:ascii="Georgia" w:hAnsi="Georgia" w:eastAsia="Georgia"/>
        <w:b w:val="0"/>
        <w:i/>
        <w:color w:val="5B5753"/>
        <w:sz w:val="16"/>
      </w:rPr>
      <w:br/>
      <w:t>Where Learning Blossoms, and Adventures Begin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&amp; Confidentiality Policy</dc:title>
  <dc:subject>POL-010 v1.1</dc:subject>
  <dc:creator>Tiny Explorers Nursery &amp; Preschool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