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14EE39D8" w:rsidR="00A334BA" w:rsidRPr="00A334BA" w:rsidRDefault="00A334BA" w:rsidP="00A334BA">
      <w:pPr>
        <w:pStyle w:val="NoSpacing"/>
      </w:pPr>
    </w:p>
    <w:p w14:paraId="28C735C6" w14:textId="2851361E" w:rsidR="003C7F4C" w:rsidRDefault="003C7F4C" w:rsidP="008C1940"/>
    <w:p w14:paraId="2177670A" w14:textId="77777777" w:rsidR="005C14EF" w:rsidRDefault="005C14EF" w:rsidP="008C1940">
      <w:r>
        <w:rPr>
          <w:noProof/>
        </w:rPr>
        <w:drawing>
          <wp:anchor distT="0" distB="0" distL="114300" distR="114300" simplePos="0" relativeHeight="251662336" behindDoc="0" locked="0" layoutInCell="1" allowOverlap="1" wp14:anchorId="37E60C0D" wp14:editId="0AD2F393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2148840" cy="2244725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97F">
        <w:t xml:space="preserve">The </w:t>
      </w:r>
      <w:r w:rsidR="000D6D38">
        <w:t xml:space="preserve">Override </w:t>
      </w:r>
      <w:r w:rsidR="0076397F">
        <w:t xml:space="preserve">function </w:t>
      </w:r>
      <w:r w:rsidR="000D6D38">
        <w:t>uses the</w:t>
      </w:r>
      <w:r w:rsidR="0076397F">
        <w:t xml:space="preserve"> ‘Maximum Temperature’ value set within the Zone configuration. </w:t>
      </w:r>
    </w:p>
    <w:p w14:paraId="12C259D7" w14:textId="69530D28" w:rsidR="008C1940" w:rsidRDefault="005C14EF" w:rsidP="008C1940">
      <w:r>
        <w:rPr>
          <w:noProof/>
        </w:rPr>
        <w:drawing>
          <wp:anchor distT="0" distB="0" distL="114300" distR="114300" simplePos="0" relativeHeight="251658240" behindDoc="0" locked="0" layoutInCell="1" allowOverlap="1" wp14:anchorId="3AD30FFE" wp14:editId="7A5A529B">
            <wp:simplePos x="0" y="0"/>
            <wp:positionH relativeFrom="margin">
              <wp:posOffset>2244725</wp:posOffset>
            </wp:positionH>
            <wp:positionV relativeFrom="paragraph">
              <wp:posOffset>684530</wp:posOffset>
            </wp:positionV>
            <wp:extent cx="3494405" cy="15087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97F">
        <w:t xml:space="preserve">The setting for each zone can be viewed </w:t>
      </w:r>
      <w:r>
        <w:t>by selecting ‘S</w:t>
      </w:r>
      <w:r>
        <w:t>ystem Controller Configuration</w:t>
      </w:r>
      <w:r>
        <w:t>’ from the Settings dropdown list, then click the ‘</w:t>
      </w:r>
      <w:r>
        <w:t>Override</w:t>
      </w:r>
      <w:r>
        <w:t>’ button.</w:t>
      </w:r>
    </w:p>
    <w:p w14:paraId="08B127AA" w14:textId="0F9EF9C2" w:rsidR="003C7F4C" w:rsidRDefault="003C7F4C" w:rsidP="008C1940"/>
    <w:p w14:paraId="57205781" w14:textId="0F114F3E" w:rsidR="003C7F4C" w:rsidRDefault="00BC1B85" w:rsidP="008C1940">
      <w:r>
        <w:rPr>
          <w:noProof/>
        </w:rPr>
        <w:drawing>
          <wp:anchor distT="0" distB="0" distL="114300" distR="114300" simplePos="0" relativeHeight="251659264" behindDoc="0" locked="0" layoutInCell="1" allowOverlap="1" wp14:anchorId="6B0132E5" wp14:editId="5EF140FC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3055620" cy="15589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E13E9" w14:textId="7F15F73D" w:rsidR="003C7F4C" w:rsidRDefault="003C7F4C" w:rsidP="008C1940"/>
    <w:p w14:paraId="158F390C" w14:textId="17E0302F" w:rsidR="003C7F4C" w:rsidRDefault="003C7F4C" w:rsidP="008C1940">
      <w:r>
        <w:t>This example shows the Maximum Temperature</w:t>
      </w:r>
      <w:r w:rsidR="00BC1B85">
        <w:t>s</w:t>
      </w:r>
      <w:r>
        <w:t xml:space="preserve"> set for 3 active zones.</w:t>
      </w:r>
    </w:p>
    <w:p w14:paraId="7011FBA0" w14:textId="2BD31DA9" w:rsidR="003C7F4C" w:rsidRDefault="003C7F4C" w:rsidP="008C1940"/>
    <w:p w14:paraId="5D25A659" w14:textId="61C918A0" w:rsidR="003C7F4C" w:rsidRDefault="003C7F4C" w:rsidP="008C1940"/>
    <w:p w14:paraId="59853EBB" w14:textId="7640CF7A" w:rsidR="00BC1B85" w:rsidRPr="00D057DD" w:rsidRDefault="003C7F4C" w:rsidP="008C1940">
      <w:pPr>
        <w:rPr>
          <w:b/>
          <w:bCs/>
        </w:rPr>
      </w:pPr>
      <w:r w:rsidRPr="00D057DD">
        <w:rPr>
          <w:b/>
          <w:bCs/>
        </w:rPr>
        <w:t xml:space="preserve">For </w:t>
      </w:r>
      <w:r w:rsidR="00D057DD" w:rsidRPr="00D057DD">
        <w:rPr>
          <w:b/>
          <w:bCs/>
        </w:rPr>
        <w:t>example,</w:t>
      </w:r>
      <w:r w:rsidRPr="00D057DD">
        <w:rPr>
          <w:b/>
          <w:bCs/>
        </w:rPr>
        <w:t xml:space="preserve"> if we activate Override for the HotWater zone, then when any other zone schedule is active</w:t>
      </w:r>
      <w:r w:rsidR="00BC1B85" w:rsidRPr="00D057DD">
        <w:rPr>
          <w:b/>
          <w:bCs/>
        </w:rPr>
        <w:t>, the HotWater zone will also become active, using the Maximum Temperature value as the control temperature.</w:t>
      </w:r>
    </w:p>
    <w:p w14:paraId="758868B7" w14:textId="5CE7A3D8" w:rsidR="003C7F4C" w:rsidRDefault="00BC1B85" w:rsidP="008C1940">
      <w:r>
        <w:rPr>
          <w:noProof/>
        </w:rPr>
        <w:drawing>
          <wp:anchor distT="0" distB="0" distL="114300" distR="114300" simplePos="0" relativeHeight="251660288" behindDoc="0" locked="0" layoutInCell="1" allowOverlap="1" wp14:anchorId="623D99BB" wp14:editId="2DF3A5E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651760" cy="18357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 activate</w:t>
      </w:r>
      <w:r w:rsidR="003C7F4C">
        <w:t xml:space="preserve"> </w:t>
      </w:r>
      <w:r>
        <w:t>Override, use the ‘Override’ option from the One Touch menu.</w:t>
      </w:r>
    </w:p>
    <w:p w14:paraId="218C2BB5" w14:textId="77777777" w:rsidR="00D057DD" w:rsidRDefault="00D057DD" w:rsidP="008C1940"/>
    <w:p w14:paraId="4A80C989" w14:textId="57B5913D" w:rsidR="00D057DD" w:rsidRDefault="005C14EF" w:rsidP="008C1940">
      <w:r>
        <w:rPr>
          <w:noProof/>
        </w:rPr>
        <w:drawing>
          <wp:anchor distT="0" distB="0" distL="114300" distR="114300" simplePos="0" relativeHeight="251661312" behindDoc="0" locked="0" layoutInCell="1" allowOverlap="1" wp14:anchorId="3606ECDE" wp14:editId="6B91B6D6">
            <wp:simplePos x="0" y="0"/>
            <wp:positionH relativeFrom="margin">
              <wp:align>left</wp:align>
            </wp:positionH>
            <wp:positionV relativeFrom="paragraph">
              <wp:posOffset>403225</wp:posOffset>
            </wp:positionV>
            <wp:extent cx="2781300" cy="13525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EE320" w14:textId="232EDBDE" w:rsidR="00D057DD" w:rsidRDefault="00D057DD" w:rsidP="008C1940"/>
    <w:p w14:paraId="59175A03" w14:textId="135A7F69" w:rsidR="00D057DD" w:rsidRDefault="00D057DD" w:rsidP="008C1940">
      <w:r>
        <w:t>Click on the temperature status icon to activate Override for the HotWater zone.</w:t>
      </w:r>
    </w:p>
    <w:p w14:paraId="08AE0CDB" w14:textId="58EF2DDC" w:rsidR="00BC1B85" w:rsidRPr="00C74D5F" w:rsidRDefault="00BC1B85" w:rsidP="008C1940"/>
    <w:sectPr w:rsidR="00BC1B85" w:rsidRPr="00C74D5F" w:rsidSect="00BF1D78">
      <w:footerReference w:type="default" r:id="rId14"/>
      <w:headerReference w:type="first" r:id="rId15"/>
      <w:footerReference w:type="first" r:id="rId16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462657C9" w:rsidR="00C8453E" w:rsidRDefault="00C8453E" w:rsidP="00C8453E">
    <w:pPr>
      <w:pStyle w:val="Heading1"/>
      <w:jc w:val="center"/>
    </w:pPr>
    <w:bookmarkStart w:id="0" w:name="_Hlk64485398"/>
    <w:r>
      <w:t xml:space="preserve">MaxAir </w:t>
    </w:r>
    <w:bookmarkEnd w:id="0"/>
    <w:r>
      <w:t xml:space="preserve"> – </w:t>
    </w:r>
    <w:r w:rsidR="000D6D38">
      <w:t>Override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D6D38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C7F4C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4EF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97F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C1B85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057DD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</cp:revision>
  <cp:lastPrinted>2021-11-28T08:55:00Z</cp:lastPrinted>
  <dcterms:created xsi:type="dcterms:W3CDTF">2021-12-22T20:48:00Z</dcterms:created>
  <dcterms:modified xsi:type="dcterms:W3CDTF">2022-03-28T08:18:00Z</dcterms:modified>
</cp:coreProperties>
</file>